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BF11" w14:textId="77777777" w:rsidR="007C0B55" w:rsidRDefault="007C0B55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-webkit-standard" w:hAnsi="-webkit-standard"/>
          <w:color w:val="000000"/>
          <w:sz w:val="28"/>
          <w:szCs w:val="28"/>
        </w:rPr>
        <w:t xml:space="preserve">К началу изучения темы «Глагол» школьники уже имеют опыт работы со словами, обозначающими действие. Не исключено, что знакомы они и с понятием «состояние предметов». Они в основном правильно пользуются глаголами в речи, как и другими частями речи. Умеют объяснить лексическое значение многих глаголов, объединить их в тематические группы: глаголы движения, речи, зрения, домашнего бытового труда и пр. В языковом анализе текста, предложения к глаголу, как правило, ставится вопрос от имени существительного: что делает предмет? – это глагол-действие; что происходит с предметом? – глагол-состояние. Вопросы варьируются по временам: что делает? что делал? что будет делать?; по лицам: что делаю? что делаешь?; по родам: что делала?; по наклонениям: что сделал бы? (последнее – при углубленном изучении). Значит, вопрос, задаваемый к глаголу, раскрывает не только его лексическое, но и грамматическое значение. Именно вопрос, умение (интуитивное) поставить его служат связующим звеном между неосознанным, не выраженным в правилах усвоением языковых значений, связей, моделей и их осознанным усвоением. Пользуясь методикой грамматических вопросов, школьники знакомятся со свойствами глаголов: сначала с теми категориями, которые им знакомы из предыдущих тем (род, число), и с теми, которые свойственны только глаголу (время, лицо, способность иметь неопределенную форму). А при углубленном изучении школьники знакомятся с видами, залогами, наклонениями, причастиями. Грамматические характеристики глагола сложны в сравнении с другими частями речи. Такая или подобная таблица организует: – формирование понятий; – усвоение значений и функций глагольных форм; – упражнения в их образовании и употреблении в речи – в предложении и в тексте, в передаче мысли; – в таблице намечены пропедевтические цели и перспективы дальнейшего изучения глагола и других тем. Таблица может быть дополнена перспективами правописания глаголов (см. раздел, посвященный орфографии). Современная методика углубленного изучения языка охватывает и такие возможности глагольной системы, как совершенный и несовершенный вид, переходные и непереходные глаголы, наклонение повелительное и сослагательное, залог (в частности, возвратные глаголы), причастия и деепричастия, употребление их в речи, правописание и пр. Учители избирает дедуктивный или индуктивный путь ознакомления со свойствами глагола. Дедуктивный путь: язык (как наиболее широкая система) → слова → части речи → уже изученные части речи → глагол (на основе пропедевтических сведений о глаголах). Затем </w:t>
      </w:r>
      <w:r>
        <w:rPr>
          <w:rStyle w:val="bumpedfont20"/>
          <w:rFonts w:ascii="-webkit-standard" w:hAnsi="-webkit-standard"/>
          <w:color w:val="000000"/>
          <w:sz w:val="28"/>
          <w:szCs w:val="28"/>
        </w:rPr>
        <w:lastRenderedPageBreak/>
        <w:t>– признаки, свойства глагола, его значения, формы и пр. Это – «восхождение от абстрактного к конкретному» (В. В. Давыдов); путь от модели к конкретному употреблению глагола в тексте, к его возможностям в выражении мысли. Индуктивный путь: берется образцовый текст, доступный и интересный (напомним: Ушинский взял «Сказку о рыбаке и рыбке» А. С. Пушкина), дети читают, находят в тексте подлежащее и сказуемое (имена существительные и относящиеся к ним словадействия, т. е. глаголы), ставят к ним вопросы в соответствии с их функцией в предложении (на основе языкового чутья). Объясняют: а) их лексические значения; б) их грамматические значения: на первых этапах еще не говорят: «Глагол стоит в форме прошедшего времени», но: «Действие уже совершилось, оно уже прошло». Или: Кличет старик золотую рыбку. – «Укажите окончание». – «Окончание -ет». – «Какое слово подходит здесь: я, ты или он? Дети подводятся к понятию глагольного лица. И т. д. Так дети проходят путь анализа образцов речи и «открытий».</w:t>
      </w:r>
    </w:p>
    <w:p w14:paraId="6FDB9EE7" w14:textId="77777777" w:rsidR="007C0B55" w:rsidRDefault="007C0B55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-webkit-standard" w:hAnsi="-webkit-standard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>
        <w:rPr>
          <w:rStyle w:val="bumpedfont20"/>
          <w:rFonts w:ascii="-webkit-standard" w:hAnsi="-webkit-standard"/>
          <w:color w:val="000000"/>
          <w:sz w:val="28"/>
          <w:szCs w:val="28"/>
        </w:rPr>
        <w:t>Казалось бы, логично было бы начать с настоящего времени: ведь оно обозначает совпадение времени действия с моментом речи. Но прошедшее время намного легче настоящего: а) в прошедшем времени нет форм лица, зато есть знакомая детям форма рода (точнее: значение лица в прошедшем времени выражается не с помощью окончаний, а аналитически, всем строем предложения); б) настоящее время имеют не все глаголы; только глаголы несовершенного</w:t>
      </w:r>
      <w:r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>
        <w:rPr>
          <w:rStyle w:val="bumpedfont20"/>
          <w:rFonts w:ascii="-webkit-standard" w:hAnsi="-webkit-standard"/>
          <w:color w:val="000000"/>
          <w:sz w:val="28"/>
          <w:szCs w:val="28"/>
        </w:rPr>
        <w:t xml:space="preserve">вида; в) наконец, правописание прошедшего времени не содержит трудностей, дает незначительное количество ошибок, настоящее же время весьма сложно с этой точки зрения. Приступая к теме «Прошедшее время», школьники уже прошли первоначальное знакомство со значениями времен, они познакомились с ними в процессе анализа глаголов в тексте. Внешним признаком прошедшего времени для них служит суффикс -л- (немногочисленные глаголы типа нес, пек, рос, увлек детям встретятся позже). Школьники без затруднений образуют форму множественного числа – бежал – бежали и родовые формы в единственном числе – бежала, бежало. Личных форм глагола можно не касаться при изучении этой темы, но если вопрос возникнет, то следует продемонстрировать совпадение этих форм: я, ты, он бежал; мы, вы, они бежали. Как обычно, на этапе обобщения может быть составлена таблица глагольных форм прошедшего времени и таблица (модель) окончаний глагола по родам и числам в прошедшем времени. Таблицы анализируются; фиксируются окончания или их отсутствие. Составляются предложения, рассматриваются глаголы в них. Обращается внимание на </w:t>
      </w:r>
      <w:r>
        <w:rPr>
          <w:rStyle w:val="bumpedfont20"/>
          <w:rFonts w:ascii="-webkit-standard" w:hAnsi="-webkit-standard"/>
          <w:color w:val="000000"/>
          <w:sz w:val="28"/>
          <w:szCs w:val="28"/>
        </w:rPr>
        <w:lastRenderedPageBreak/>
        <w:t>формообразующий суффикс -л- в прошедшем времени глагола. Исследуются глаголы, употребленные писателями, а также характер текста, построенного на этих формах глагола. Вывод: повествование, рассказ о событиях, которые уже прошли, как правило, строятся с употреблением прошедшего времени глаголов. Учащиеся сами создают такой текст и убеждаются в правомерности этого вывода. В работе учащихся используются следующие понятия: «прошедшее время глагола», «родовые окончания», «окончание множественного числа прошедшего времени». Они пополняют терминологический словарик.</w:t>
      </w:r>
    </w:p>
    <w:p w14:paraId="7F0A34EC" w14:textId="77777777" w:rsidR="007C0B55" w:rsidRDefault="007C0B55"/>
    <w:sectPr w:rsidR="007C0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5"/>
    <w:rsid w:val="007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FD100A"/>
  <w15:chartTrackingRefBased/>
  <w15:docId w15:val="{33842155-50AC-E64F-BC2D-EEE841F3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C0B5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20">
    <w:name w:val="bumpedfont20"/>
    <w:basedOn w:val="DefaultParagraphFont"/>
    <w:rsid w:val="007C0B55"/>
  </w:style>
  <w:style w:type="character" w:customStyle="1" w:styleId="apple-converted-space">
    <w:name w:val="apple-converted-space"/>
    <w:basedOn w:val="DefaultParagraphFont"/>
    <w:rsid w:val="007C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 Балгараева</dc:creator>
  <cp:keywords/>
  <dc:description/>
  <cp:lastModifiedBy>Назым Балгараева</cp:lastModifiedBy>
  <cp:revision>2</cp:revision>
  <dcterms:created xsi:type="dcterms:W3CDTF">2023-12-05T13:48:00Z</dcterms:created>
  <dcterms:modified xsi:type="dcterms:W3CDTF">2023-12-05T13:48:00Z</dcterms:modified>
</cp:coreProperties>
</file>