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603E" w:rsidRDefault="002B0CE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Кәсіпкерліктегі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бизнесті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қолдау</w:t>
      </w:r>
      <w:proofErr w:type="spellEnd"/>
    </w:p>
    <w:p w:rsidR="00F2603E" w:rsidRDefault="002B0CE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Елімізде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кәсіпкерлікпен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айналысатын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әр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Мұндай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мемлекет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тарапынан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қолдаулар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көрсетіліп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жатыр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?!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Мемлекет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шағын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орта бизнес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иелеріне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жағынан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көмектесе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сынды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сұрақтардың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болатыны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Кәсіпкерлікпен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айналысуға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мемлекет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тарапынан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берілетін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субсидия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кәсіпкерлікке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ұмтылғандарға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тегін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қаржылық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қарастырылған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Кәсіп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ашуға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мемлекет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тарапынан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берілетін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бағдарламасының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көмегімен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ұтады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Жаңадан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бастаған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кәсіпкер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қаржы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мемлекет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орындары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 ЖІӨ </w:t>
      </w:r>
      <w:proofErr w:type="spellStart"/>
      <w:r>
        <w:rPr>
          <w:rFonts w:ascii="Times New Roman" w:hAnsi="Times New Roman" w:cs="Times New Roman"/>
          <w:sz w:val="28"/>
          <w:szCs w:val="28"/>
        </w:rPr>
        <w:t>өсімін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603E" w:rsidRDefault="002B0CE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Гранттар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бюджетінен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іс-шараларды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қолдауға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бөлінеді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Көбінесе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негізде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берілетін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біржолғы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өтеусіз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төлемдер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іріктеу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критерийлері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компанияның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кіріс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көлемі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құрылған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орындарының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саны.</w:t>
      </w:r>
    </w:p>
    <w:p w:rsidR="00F2603E" w:rsidRDefault="002B0CE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Кәсіпкерлікті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орталықтары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қағидаты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істейді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мекемелер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компаниялардың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өкілдері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бизнесті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қолдаудың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құралдарын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ұсынады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жобаларды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оқытады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603E" w:rsidRDefault="002B0CE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Кәсіпкерлікті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шеңберінде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түрлерін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ұсынылады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2603E" w:rsidRDefault="002B0CE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Бизнесті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жабу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беру;</w:t>
      </w:r>
    </w:p>
    <w:p w:rsidR="00F2603E" w:rsidRDefault="002B0CE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Кәсіпкерлікті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бағдарламалары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(Агробизнес, Экспорттаушы-2020, Өнімділік-2020);</w:t>
      </w:r>
    </w:p>
    <w:p w:rsidR="00F2603E" w:rsidRDefault="002B0CE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Қаржы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институттарымен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істеу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шарттарын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нақтылау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(«Даму»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деңгейлі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банктер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Қаржылық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АҚ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т.б</w:t>
      </w:r>
      <w:proofErr w:type="spellEnd"/>
      <w:r>
        <w:rPr>
          <w:rFonts w:ascii="Times New Roman" w:hAnsi="Times New Roman" w:cs="Times New Roman"/>
          <w:sz w:val="28"/>
          <w:szCs w:val="28"/>
        </w:rPr>
        <w:t>.);</w:t>
      </w:r>
    </w:p>
    <w:p w:rsidR="00F2603E" w:rsidRDefault="002B0CE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Кәсіпкерлерге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жинау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беру;</w:t>
      </w:r>
    </w:p>
    <w:p w:rsidR="00F2603E" w:rsidRDefault="002B0CE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мәселелер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беру;</w:t>
      </w:r>
    </w:p>
    <w:p w:rsidR="00F2603E" w:rsidRDefault="002B0CE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Оқу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жобаларына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қатысуға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өтінімдерді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жинау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2603E" w:rsidRDefault="002B0CE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тұрған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бизнесті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мамандандырылған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қызметтерді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көрсетуге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өтінімдерді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жинау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603E" w:rsidRDefault="002B0CE2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ҚР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кодексінің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10-бабының 1-тармағына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Азаматтардың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қандастардың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тұлғалардың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мүлікті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тауарларды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өндіру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жұмыстарды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қызметтерді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кіріс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меншік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құқығына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кәсіпкерлік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шаруашылық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кәсіпорынды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жедел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құқығына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кәсіпкерлік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негізделген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бастамашылық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кәсіпкерлік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Кәсіпкерлік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кәсіпкер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тәуекел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етуімен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мүліктік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жауапкершілігімен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603E" w:rsidRDefault="002B0C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Қолданыстағы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кәсіпкерлік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жүргізуге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сервистік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кәсіпорынды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жүйесін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тиімділігін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жетілдіруге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экономиканың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салаларында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істейтін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шағын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орта бизнес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субъектілеріне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тегін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көрсетіледі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603E" w:rsidRDefault="002B0CE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Шағын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орта бизнес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субъектілеріне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қолданыстағы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кәсіпкерлік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жүргізуге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сервистік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қаржы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көрсетіледі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603E" w:rsidRDefault="002B0CE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қосылған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дайын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өнім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шығаруға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өз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өндірісін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дамытуда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Қазірдің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өзінде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дүкен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сөрелерінен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Made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KZ»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белгісі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өнімдерді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көріп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кездеседі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әсіресе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азық-түлік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тауарларына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тұтынатын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тауарларға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ассортимент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онжылдықтарда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айтарлықтай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тауарлардың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шетелдік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брендтермен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бәсекеге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қабілетті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603E" w:rsidRDefault="002B0CE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Мемлекеттің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қолдауынсыз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мұндай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жетістіктерге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қаржыны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Бизнесті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айналым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қаражаты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 инвестиция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Кәсіпкерлікті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қолдауға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қаржы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институттары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мәселелерді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шешуге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Солардың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Бәйтерек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ҰБХ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құрамына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кіретін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«Даму»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кәсіпкерлікті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25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173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мыңнан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көрсетті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Жобаның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триллион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теңгені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құрайды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603E" w:rsidRDefault="002B0C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қорының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қолдауы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Қазақстанның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аймақтарында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бағдарламалардан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«Даму»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облыстардың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қалалардың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әкімдерімен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бірлесіп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шағын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бизнесті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қаржыландырудың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мақсатты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өңірлік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бағдарламаларын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асыруда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аймақтың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қажеттіліктерін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кәсіпкерлік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дамытуға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603E" w:rsidRDefault="002B0CE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даму институты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өз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бизнесті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эволюциялық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масштабтау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кәсіпкерлердің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микробизнестерден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шағын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орта,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бизнеске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міндетін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қояды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міндеттерді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«Даму»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қаржы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институттарының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ресурстарын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тартады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603E" w:rsidRDefault="002B0CE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Бизнестің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қажеттіліктерін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кәсіпкерлерді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әрі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ұқсас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функционалдық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институттармен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тұрақты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зерттеп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тәжірибе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алмасады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асырылып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жоспарланған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шараларының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нәтижесінде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өндірісіміз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Қазақстанның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экспорттық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әлеуеті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603E" w:rsidRDefault="00F260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03E" w:rsidRDefault="00F260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03E" w:rsidRDefault="00F260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03E" w:rsidRDefault="00F260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03E" w:rsidRDefault="00F260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603E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6C85" w:rsidRDefault="008A6C85">
      <w:pPr>
        <w:spacing w:after="0" w:line="240" w:lineRule="auto"/>
      </w:pPr>
      <w:r>
        <w:separator/>
      </w:r>
    </w:p>
  </w:endnote>
  <w:endnote w:type="continuationSeparator" w:id="0">
    <w:p w:rsidR="008A6C85" w:rsidRDefault="008A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6C85" w:rsidRDefault="008A6C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A6C85" w:rsidRDefault="008A6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3E"/>
    <w:rsid w:val="002B0CE2"/>
    <w:rsid w:val="00355DC3"/>
    <w:rsid w:val="005613CD"/>
    <w:rsid w:val="00650450"/>
    <w:rsid w:val="008A6C85"/>
    <w:rsid w:val="00F2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F3EFC1"/>
  <w15:docId w15:val="{8977690F-0F2A-4C7C-B00C-03BB875E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Yu Mincho" w:hAnsi="Calibri" w:cs="Arial"/>
        <w:kern w:val="3"/>
        <w:sz w:val="22"/>
        <w:szCs w:val="22"/>
        <w:lang w:val="ru-RU" w:eastAsia="ru-RU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a0"/>
    <w:rPr>
      <w:rFonts w:ascii="Courier New" w:hAnsi="Courier New" w:cs="Courier New"/>
      <w:kern w:val="0"/>
      <w:sz w:val="20"/>
      <w:szCs w:val="20"/>
    </w:rPr>
  </w:style>
  <w:style w:type="character" w:customStyle="1" w:styleId="y2iqfc">
    <w:name w:val="y2iqfc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dc:description/>
  <cp:lastModifiedBy>77023960597</cp:lastModifiedBy>
  <cp:revision>4</cp:revision>
  <dcterms:created xsi:type="dcterms:W3CDTF">2023-12-03T13:35:00Z</dcterms:created>
  <dcterms:modified xsi:type="dcterms:W3CDTF">2023-12-06T17:46:00Z</dcterms:modified>
</cp:coreProperties>
</file>