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7A39C1" w:rsidRPr="00582F73" w:rsidTr="00D16628">
        <w:tc>
          <w:tcPr>
            <w:tcW w:w="9923" w:type="dxa"/>
            <w:gridSpan w:val="2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A39C1" w:rsidRDefault="007A39C1" w:rsidP="00BC1AC4">
            <w:pPr>
              <w:jc w:val="center"/>
              <w:textAlignment w:val="baseline"/>
              <w:rPr>
                <w:b/>
                <w:i/>
                <w:sz w:val="22"/>
                <w:szCs w:val="22"/>
                <w:bdr w:val="none" w:sz="0" w:space="0" w:color="auto" w:frame="1"/>
                <w:lang w:val="kk-KZ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7A39C1">
              <w:rPr>
                <w:b/>
                <w:i/>
                <w:szCs w:val="22"/>
                <w:bdr w:val="none" w:sz="0" w:space="0" w:color="auto" w:frame="1"/>
                <w:lang w:val="kk-KZ"/>
              </w:rPr>
              <w:t xml:space="preserve">Дебат.  </w:t>
            </w:r>
            <w:r w:rsidR="006543AD">
              <w:rPr>
                <w:b/>
                <w:i/>
                <w:szCs w:val="22"/>
                <w:bdr w:val="none" w:sz="0" w:space="0" w:color="auto" w:frame="1"/>
                <w:lang w:val="kk-KZ"/>
              </w:rPr>
              <w:t>«</w:t>
            </w:r>
            <w:r w:rsidR="00465C7C">
              <w:rPr>
                <w:b/>
                <w:i/>
                <w:szCs w:val="22"/>
                <w:bdr w:val="none" w:sz="0" w:space="0" w:color="auto" w:frame="1"/>
                <w:lang w:val="kk-KZ"/>
              </w:rPr>
              <w:t>Қазақстандағы ХХ ғ 50-жылдарындағы тың игеру ақталады/ақталмайды</w:t>
            </w:r>
            <w:r w:rsidRPr="007A39C1">
              <w:rPr>
                <w:b/>
                <w:i/>
                <w:szCs w:val="22"/>
                <w:bdr w:val="none" w:sz="0" w:space="0" w:color="auto" w:frame="1"/>
                <w:lang w:val="kk-KZ"/>
              </w:rPr>
              <w:t>?</w:t>
            </w:r>
            <w:r w:rsidR="006543AD">
              <w:rPr>
                <w:b/>
                <w:i/>
                <w:szCs w:val="22"/>
                <w:bdr w:val="none" w:sz="0" w:space="0" w:color="auto" w:frame="1"/>
                <w:lang w:val="kk-KZ"/>
              </w:rPr>
              <w:t>»</w:t>
            </w:r>
            <w:r w:rsidRPr="007A39C1">
              <w:rPr>
                <w:b/>
                <w:i/>
                <w:szCs w:val="22"/>
                <w:bdr w:val="none" w:sz="0" w:space="0" w:color="auto" w:frame="1"/>
                <w:lang w:val="kk-KZ"/>
              </w:rPr>
              <w:t xml:space="preserve">    </w:t>
            </w:r>
          </w:p>
          <w:p w:rsidR="00D175D8" w:rsidRPr="007A39C1" w:rsidRDefault="00D175D8" w:rsidP="00BC1AC4">
            <w:pPr>
              <w:jc w:val="center"/>
              <w:textAlignment w:val="baseline"/>
              <w:rPr>
                <w:b/>
                <w:i/>
                <w:sz w:val="22"/>
                <w:szCs w:val="22"/>
                <w:bdr w:val="none" w:sz="0" w:space="0" w:color="auto" w:frame="1"/>
                <w:lang w:val="kk-KZ"/>
              </w:rPr>
            </w:pPr>
          </w:p>
        </w:tc>
      </w:tr>
      <w:tr w:rsidR="0002214B" w:rsidRPr="00D95821" w:rsidTr="00BC1AC4"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465C7C" w:rsidRDefault="00D95821" w:rsidP="00BC1AC4">
            <w:pPr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t>Мектеп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175D8" w:rsidRPr="004F3C8B" w:rsidRDefault="00D95821" w:rsidP="00D9582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№22 Б Момышұлы орта мектебі</w:t>
            </w:r>
          </w:p>
        </w:tc>
      </w:tr>
      <w:tr w:rsidR="00D95821" w:rsidRPr="00D95821" w:rsidTr="00BC1AC4"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D95821" w:rsidRDefault="00D95821" w:rsidP="00BC1AC4">
            <w:pPr>
              <w:textAlignment w:val="baseline"/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t>Мұғалім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D95821" w:rsidRPr="00352205" w:rsidRDefault="00D95821" w:rsidP="00BC1AC4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 xml:space="preserve">Мамытов Махмутжан  </w:t>
            </w:r>
          </w:p>
        </w:tc>
      </w:tr>
      <w:tr w:rsidR="00D95821" w:rsidRPr="00D95821" w:rsidTr="00BC1AC4"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D95821" w:rsidRDefault="00D95821" w:rsidP="00BC1AC4">
            <w:pPr>
              <w:textAlignment w:val="baseline"/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</w:pPr>
            <w:r w:rsidRPr="00465C7C"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t>Сабақтың тақырыбы: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D95821" w:rsidRDefault="00D95821" w:rsidP="00D9582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val="kk-KZ"/>
              </w:rPr>
            </w:pPr>
            <w:r w:rsidRPr="004F3C8B">
              <w:rPr>
                <w:b/>
                <w:i/>
                <w:iCs/>
                <w:sz w:val="22"/>
                <w:szCs w:val="22"/>
                <w:lang w:val="kk-KZ"/>
              </w:rPr>
              <w:t xml:space="preserve">Оқыту мен оқудағы жаңа тәсілдер: </w:t>
            </w:r>
            <w:r>
              <w:rPr>
                <w:b/>
                <w:i/>
                <w:iCs/>
                <w:sz w:val="22"/>
                <w:szCs w:val="22"/>
                <w:lang w:val="kk-KZ"/>
              </w:rPr>
              <w:t xml:space="preserve"> </w:t>
            </w:r>
            <w:r w:rsidRPr="00465C7C">
              <w:rPr>
                <w:b/>
                <w:i/>
                <w:sz w:val="22"/>
                <w:szCs w:val="22"/>
                <w:lang w:val="kk-KZ"/>
              </w:rPr>
              <w:t>Диалогтік оқыту</w:t>
            </w:r>
            <w:r>
              <w:rPr>
                <w:b/>
                <w:i/>
                <w:sz w:val="22"/>
                <w:szCs w:val="22"/>
                <w:lang w:val="kk-KZ"/>
              </w:rPr>
              <w:t>, көшбасшылық</w:t>
            </w:r>
          </w:p>
          <w:p w:rsidR="00D95821" w:rsidRDefault="00D95821" w:rsidP="00BC1AC4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kk-KZ"/>
              </w:rPr>
            </w:pPr>
          </w:p>
        </w:tc>
      </w:tr>
      <w:tr w:rsidR="00352205" w:rsidRPr="00465C7C" w:rsidTr="00BC1AC4"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352205" w:rsidRPr="00465C7C" w:rsidRDefault="00352205" w:rsidP="00BC1AC4">
            <w:pPr>
              <w:textAlignment w:val="baseline"/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t>Қазақстан тарихы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352205" w:rsidRPr="00352205" w:rsidRDefault="00352205" w:rsidP="00BC1AC4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kk-KZ"/>
              </w:rPr>
            </w:pPr>
            <w:r w:rsidRPr="00352205">
              <w:rPr>
                <w:iCs/>
                <w:sz w:val="22"/>
                <w:szCs w:val="22"/>
                <w:lang w:val="kk-KZ"/>
              </w:rPr>
              <w:t>9-сынып</w:t>
            </w:r>
          </w:p>
        </w:tc>
      </w:tr>
      <w:tr w:rsidR="0002214B" w:rsidRPr="00D95821" w:rsidTr="00BC1AC4"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465C7C" w:rsidRDefault="0002214B" w:rsidP="00BC1AC4">
            <w:pPr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465C7C"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t>Жалпы мақсаты: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Default="007A39C1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</w:t>
            </w:r>
            <w:r w:rsidR="0002214B" w:rsidRPr="00465C7C">
              <w:rPr>
                <w:sz w:val="22"/>
                <w:szCs w:val="22"/>
                <w:lang w:val="kk-KZ"/>
              </w:rPr>
              <w:t>арым-қатынас жасау жөніндегі өзіндік тәсілді ойластыруға және</w:t>
            </w:r>
            <w:r w:rsidR="00465C7C" w:rsidRPr="00465C7C">
              <w:rPr>
                <w:sz w:val="22"/>
                <w:szCs w:val="22"/>
                <w:lang w:val="kk-KZ"/>
              </w:rPr>
              <w:t xml:space="preserve"> шығаруға көмектеседі. О</w:t>
            </w:r>
            <w:r w:rsidR="00465C7C">
              <w:rPr>
                <w:sz w:val="22"/>
                <w:szCs w:val="22"/>
                <w:lang w:val="kk-KZ"/>
              </w:rPr>
              <w:t>қушылар</w:t>
            </w:r>
            <w:r w:rsidR="0002214B" w:rsidRPr="00465C7C">
              <w:rPr>
                <w:sz w:val="22"/>
                <w:szCs w:val="22"/>
                <w:lang w:val="kk-KZ"/>
              </w:rPr>
              <w:t xml:space="preserve"> оқытудың диалогтік әдістерін енгізуге арналған тәсілдерді тиімді педагогиканың бөлігі ретінде қарастырады, мысалы, </w:t>
            </w:r>
            <w:r>
              <w:rPr>
                <w:sz w:val="22"/>
                <w:szCs w:val="22"/>
                <w:lang w:val="kk-KZ"/>
              </w:rPr>
              <w:t>дебат(пікірсайыс)</w:t>
            </w:r>
            <w:r w:rsidR="0002214B" w:rsidRPr="00465C7C">
              <w:rPr>
                <w:sz w:val="22"/>
                <w:szCs w:val="22"/>
                <w:lang w:val="kk-KZ"/>
              </w:rPr>
              <w:t xml:space="preserve"> арқылы. </w:t>
            </w:r>
            <w:r w:rsidR="0002214B" w:rsidRPr="00572DC8">
              <w:rPr>
                <w:sz w:val="22"/>
                <w:szCs w:val="22"/>
                <w:lang w:val="kk-KZ"/>
              </w:rPr>
              <w:t>Тиімді педагогиканың басты тәсілі - әр оқушыны жеке тұлға ретінде қарастыру. Мұғалімнің міндеті барлық оқушылардың білім алу, мақсатқа жету мен сынып өміріне қатысу қабілеттерін арттыру  үшін оны тұлға ретінде дамытуға ерекше назар аудару болып табылады.</w:t>
            </w:r>
          </w:p>
          <w:p w:rsidR="00D175D8" w:rsidRPr="00D175D8" w:rsidRDefault="00D175D8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02214B" w:rsidRPr="004F3C8B" w:rsidTr="00BC1AC4"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4F3C8B" w:rsidRDefault="0002214B" w:rsidP="00BC1AC4">
            <w:pPr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F3C8B">
              <w:rPr>
                <w:b/>
                <w:sz w:val="22"/>
                <w:szCs w:val="22"/>
                <w:bdr w:val="none" w:sz="0" w:space="0" w:color="auto" w:frame="1"/>
              </w:rPr>
              <w:t>Оқу</w:t>
            </w:r>
            <w:proofErr w:type="spellEnd"/>
            <w:r w:rsidRPr="004F3C8B">
              <w:rPr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F3C8B">
              <w:rPr>
                <w:b/>
                <w:sz w:val="22"/>
                <w:szCs w:val="22"/>
                <w:bdr w:val="none" w:sz="0" w:space="0" w:color="auto" w:frame="1"/>
              </w:rPr>
              <w:t>нәтижелері</w:t>
            </w:r>
            <w:proofErr w:type="spellEnd"/>
            <w:r w:rsidRPr="004F3C8B">
              <w:rPr>
                <w:b/>
                <w:sz w:val="22"/>
                <w:szCs w:val="22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4F3C8B" w:rsidRDefault="00465C7C" w:rsidP="00BC1A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kk-KZ"/>
              </w:rPr>
              <w:t>Оқушыла</w:t>
            </w:r>
            <w:r w:rsidR="0002214B" w:rsidRPr="004F3C8B">
              <w:rPr>
                <w:i/>
                <w:sz w:val="22"/>
                <w:szCs w:val="22"/>
              </w:rPr>
              <w:t>р:</w:t>
            </w:r>
          </w:p>
          <w:p w:rsidR="0002214B" w:rsidRPr="004F3C8B" w:rsidRDefault="0002214B" w:rsidP="0002214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kk-KZ"/>
              </w:rPr>
            </w:pPr>
            <w:r w:rsidRPr="004F3C8B">
              <w:rPr>
                <w:sz w:val="22"/>
                <w:szCs w:val="22"/>
                <w:lang w:val="kk-KZ"/>
              </w:rPr>
              <w:t xml:space="preserve">оқыту мен оқудағы  тілдің басты рөлін түсінуге; </w:t>
            </w:r>
          </w:p>
          <w:p w:rsidR="0002214B" w:rsidRPr="004F3C8B" w:rsidRDefault="0002214B" w:rsidP="0002214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kk-KZ"/>
              </w:rPr>
            </w:pPr>
            <w:r w:rsidRPr="004F3C8B">
              <w:rPr>
                <w:sz w:val="22"/>
                <w:szCs w:val="22"/>
                <w:lang w:val="kk-KZ"/>
              </w:rPr>
              <w:t xml:space="preserve">білім беруде оқушыға жеке көңіл бөлуді дамытуға ықпал ететін оқыту әдісі ретінде әңгімені, мысалы, </w:t>
            </w:r>
            <w:r w:rsidR="007A39C1">
              <w:rPr>
                <w:sz w:val="22"/>
                <w:szCs w:val="22"/>
                <w:lang w:val="kk-KZ"/>
              </w:rPr>
              <w:t xml:space="preserve">сұрақ-жауап </w:t>
            </w:r>
            <w:r w:rsidRPr="004F3C8B">
              <w:rPr>
                <w:sz w:val="22"/>
                <w:szCs w:val="22"/>
                <w:lang w:val="kk-KZ"/>
              </w:rPr>
              <w:t>әдістерін қалайша тиімді қолдануға болатыны туралы өз түсінігін қалыптастыруға;</w:t>
            </w:r>
          </w:p>
          <w:p w:rsidR="0002214B" w:rsidRPr="004F3C8B" w:rsidRDefault="0002214B" w:rsidP="0002214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kk-KZ"/>
              </w:rPr>
            </w:pPr>
            <w:r w:rsidRPr="004F3C8B">
              <w:rPr>
                <w:sz w:val="22"/>
                <w:szCs w:val="22"/>
                <w:lang w:val="kk-KZ"/>
              </w:rPr>
              <w:t xml:space="preserve">оқыту мен оқу тәжірибесіне диалогтік әдістерді енгізуге; </w:t>
            </w:r>
          </w:p>
          <w:p w:rsidR="0002214B" w:rsidRPr="004F3C8B" w:rsidRDefault="0002214B" w:rsidP="0002214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F3C8B">
              <w:rPr>
                <w:sz w:val="22"/>
                <w:szCs w:val="22"/>
                <w:lang w:val="kk-KZ"/>
              </w:rPr>
              <w:t>сыныптағы диалогтік әдістерді бағалауға</w:t>
            </w:r>
            <w:r w:rsidRPr="004F3C8B">
              <w:rPr>
                <w:sz w:val="22"/>
                <w:szCs w:val="22"/>
              </w:rPr>
              <w:t xml:space="preserve">; </w:t>
            </w:r>
          </w:p>
          <w:p w:rsidR="0002214B" w:rsidRPr="00D175D8" w:rsidRDefault="0002214B" w:rsidP="0002214B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</w:rPr>
            </w:pPr>
            <w:r w:rsidRPr="004F3C8B">
              <w:rPr>
                <w:sz w:val="22"/>
                <w:szCs w:val="22"/>
                <w:lang w:val="kk-KZ"/>
              </w:rPr>
              <w:t xml:space="preserve">диалогтік әдістердің  оқуға көмегін  түсіндіруге </w:t>
            </w:r>
            <w:r w:rsidRPr="004F3C8B">
              <w:rPr>
                <w:i/>
                <w:sz w:val="22"/>
                <w:szCs w:val="22"/>
                <w:lang w:val="kk-KZ"/>
              </w:rPr>
              <w:t>дайын болады.</w:t>
            </w:r>
          </w:p>
          <w:p w:rsidR="00D175D8" w:rsidRPr="004F3C8B" w:rsidRDefault="00D175D8" w:rsidP="00465C7C">
            <w:pPr>
              <w:pStyle w:val="a4"/>
              <w:rPr>
                <w:rFonts w:eastAsiaTheme="minorHAnsi"/>
                <w:sz w:val="22"/>
                <w:szCs w:val="22"/>
              </w:rPr>
            </w:pPr>
          </w:p>
        </w:tc>
      </w:tr>
      <w:tr w:rsidR="0002214B" w:rsidRPr="004F3C8B" w:rsidTr="00BC1AC4"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4F3C8B" w:rsidRDefault="0002214B" w:rsidP="007A39C1">
            <w:pPr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F3C8B">
              <w:rPr>
                <w:b/>
                <w:sz w:val="22"/>
                <w:szCs w:val="22"/>
                <w:bdr w:val="none" w:sz="0" w:space="0" w:color="auto" w:frame="1"/>
              </w:rPr>
              <w:t>Түйінді</w:t>
            </w:r>
            <w:proofErr w:type="spellEnd"/>
            <w:r w:rsidRPr="004F3C8B">
              <w:rPr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F3C8B">
              <w:rPr>
                <w:b/>
                <w:sz w:val="22"/>
                <w:szCs w:val="22"/>
                <w:bdr w:val="none" w:sz="0" w:space="0" w:color="auto" w:frame="1"/>
              </w:rPr>
              <w:t>идеялар</w:t>
            </w:r>
            <w:proofErr w:type="spellEnd"/>
            <w:r w:rsidRPr="004F3C8B">
              <w:rPr>
                <w:b/>
                <w:sz w:val="22"/>
                <w:szCs w:val="22"/>
                <w:bdr w:val="none" w:sz="0" w:space="0" w:color="auto" w:frame="1"/>
                <w:lang w:val="en-US"/>
              </w:rPr>
              <w:t>:</w:t>
            </w:r>
            <w:r w:rsidR="007A39C1">
              <w:rPr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Default="0002214B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proofErr w:type="spellStart"/>
            <w:r w:rsidRPr="004F3C8B">
              <w:rPr>
                <w:sz w:val="22"/>
                <w:szCs w:val="22"/>
              </w:rPr>
              <w:t>Әңгіме</w:t>
            </w:r>
            <w:proofErr w:type="spellEnd"/>
            <w:r w:rsidRPr="004F3C8B">
              <w:rPr>
                <w:sz w:val="22"/>
                <w:szCs w:val="22"/>
              </w:rPr>
              <w:t xml:space="preserve"> –</w:t>
            </w:r>
            <w:proofErr w:type="gramStart"/>
            <w:r w:rsidR="00465C7C">
              <w:rPr>
                <w:sz w:val="22"/>
                <w:szCs w:val="22"/>
                <w:lang w:val="kk-KZ"/>
              </w:rPr>
              <w:t xml:space="preserve">дебат </w:t>
            </w:r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балалардың</w:t>
            </w:r>
            <w:proofErr w:type="spellEnd"/>
            <w:proofErr w:type="gram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оқуға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деген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ынтасын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оята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алатын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пәрменді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тетік</w:t>
            </w:r>
            <w:proofErr w:type="spellEnd"/>
            <w:r w:rsidRPr="004F3C8B">
              <w:rPr>
                <w:sz w:val="22"/>
                <w:szCs w:val="22"/>
              </w:rPr>
              <w:t xml:space="preserve">. </w:t>
            </w:r>
            <w:proofErr w:type="spellStart"/>
            <w:r w:rsidRPr="004F3C8B">
              <w:rPr>
                <w:sz w:val="22"/>
                <w:szCs w:val="22"/>
              </w:rPr>
              <w:t>Сыныпта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диалогті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қолдану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арқылы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мұғалімдер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балалардың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білім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сапасына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зор</w:t>
            </w:r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ықпал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ете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алады</w:t>
            </w:r>
            <w:proofErr w:type="spellEnd"/>
            <w:r w:rsidRPr="004F3C8B">
              <w:rPr>
                <w:sz w:val="22"/>
                <w:szCs w:val="22"/>
              </w:rPr>
              <w:t xml:space="preserve">. </w:t>
            </w:r>
            <w:proofErr w:type="spellStart"/>
            <w:r w:rsidRPr="004F3C8B">
              <w:rPr>
                <w:sz w:val="22"/>
                <w:szCs w:val="22"/>
              </w:rPr>
              <w:t>Ойлаудың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осы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бағытына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орай</w:t>
            </w:r>
            <w:proofErr w:type="spellEnd"/>
            <w:proofErr w:type="gramStart"/>
            <w:r w:rsidRPr="004F3C8B">
              <w:rPr>
                <w:sz w:val="22"/>
                <w:szCs w:val="22"/>
              </w:rPr>
              <w:t xml:space="preserve">,  </w:t>
            </w:r>
            <w:proofErr w:type="spellStart"/>
            <w:r w:rsidRPr="004F3C8B">
              <w:rPr>
                <w:sz w:val="22"/>
                <w:szCs w:val="22"/>
              </w:rPr>
              <w:t>сұрау</w:t>
            </w:r>
            <w:proofErr w:type="spellEnd"/>
            <w:proofErr w:type="gram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және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топтық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жұмыс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сияқты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диалогтік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тәсілдің</w:t>
            </w:r>
            <w:proofErr w:type="spellEnd"/>
            <w:r w:rsidRPr="004F3C8B">
              <w:rPr>
                <w:sz w:val="22"/>
                <w:szCs w:val="22"/>
              </w:rPr>
              <w:t xml:space="preserve">  </w:t>
            </w:r>
            <w:proofErr w:type="spellStart"/>
            <w:r w:rsidRPr="004F3C8B">
              <w:rPr>
                <w:sz w:val="22"/>
                <w:szCs w:val="22"/>
              </w:rPr>
              <w:t>балаларды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оқыту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сапасын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арттыруда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әлеуеті</w:t>
            </w:r>
            <w:proofErr w:type="spellEnd"/>
            <w:r w:rsidRPr="004F3C8B">
              <w:rPr>
                <w:sz w:val="22"/>
                <w:szCs w:val="22"/>
              </w:rPr>
              <w:t xml:space="preserve"> </w:t>
            </w:r>
            <w:proofErr w:type="spellStart"/>
            <w:r w:rsidRPr="004F3C8B">
              <w:rPr>
                <w:sz w:val="22"/>
                <w:szCs w:val="22"/>
              </w:rPr>
              <w:t>зор</w:t>
            </w:r>
            <w:proofErr w:type="spellEnd"/>
            <w:r w:rsidRPr="004F3C8B">
              <w:rPr>
                <w:sz w:val="22"/>
                <w:szCs w:val="22"/>
              </w:rPr>
              <w:t xml:space="preserve">.  </w:t>
            </w:r>
          </w:p>
          <w:p w:rsidR="00D175D8" w:rsidRPr="00D175D8" w:rsidRDefault="00D175D8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02214B" w:rsidRPr="007A39C1" w:rsidTr="00BC1AC4"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4F3C8B" w:rsidRDefault="0002214B" w:rsidP="00BC1AC4">
            <w:pPr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4F3C8B">
              <w:rPr>
                <w:b/>
                <w:sz w:val="22"/>
                <w:szCs w:val="22"/>
                <w:bdr w:val="none" w:sz="0" w:space="0" w:color="auto" w:frame="1"/>
              </w:rPr>
              <w:t>Жаттығулар</w:t>
            </w:r>
            <w:proofErr w:type="spellEnd"/>
            <w:r w:rsidRPr="004F3C8B">
              <w:rPr>
                <w:b/>
                <w:sz w:val="22"/>
                <w:szCs w:val="22"/>
                <w:bdr w:val="none" w:sz="0" w:space="0" w:color="auto" w:frame="1"/>
              </w:rPr>
              <w:t xml:space="preserve">: 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7A39C1" w:rsidRDefault="007A39C1" w:rsidP="00BC1AC4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Дебат жүргізуге нұсқаулық:</w:t>
            </w:r>
          </w:p>
          <w:p w:rsidR="0002214B" w:rsidRDefault="007F281D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 адамнан тұратын 3</w:t>
            </w:r>
            <w:r w:rsidR="007A39C1">
              <w:rPr>
                <w:sz w:val="22"/>
                <w:szCs w:val="22"/>
                <w:lang w:val="kk-KZ"/>
              </w:rPr>
              <w:t xml:space="preserve"> </w:t>
            </w:r>
            <w:r w:rsidR="007A39C1" w:rsidRPr="00D175D8">
              <w:rPr>
                <w:b/>
                <w:i/>
                <w:sz w:val="22"/>
                <w:szCs w:val="22"/>
                <w:lang w:val="kk-KZ"/>
              </w:rPr>
              <w:t>топқа бөлу</w:t>
            </w:r>
            <w:r w:rsidR="00465C7C">
              <w:rPr>
                <w:sz w:val="22"/>
                <w:szCs w:val="22"/>
                <w:lang w:val="kk-KZ"/>
              </w:rPr>
              <w:t xml:space="preserve"> «Жас қанат» және «Әділет</w:t>
            </w:r>
            <w:r w:rsidR="007A39C1">
              <w:rPr>
                <w:sz w:val="22"/>
                <w:szCs w:val="22"/>
                <w:lang w:val="kk-KZ"/>
              </w:rPr>
              <w:t>» топтары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7A39C1" w:rsidRDefault="007F281D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ү</w:t>
            </w:r>
            <w:r w:rsidR="007A39C1">
              <w:rPr>
                <w:sz w:val="22"/>
                <w:szCs w:val="22"/>
                <w:lang w:val="kk-KZ"/>
              </w:rPr>
              <w:t xml:space="preserve">ш адамнан </w:t>
            </w:r>
            <w:r w:rsidR="007A39C1" w:rsidRPr="00D175D8">
              <w:rPr>
                <w:b/>
                <w:i/>
                <w:sz w:val="22"/>
                <w:szCs w:val="22"/>
                <w:lang w:val="kk-KZ"/>
              </w:rPr>
              <w:t>сарапшы</w:t>
            </w:r>
            <w:r w:rsidR="007A39C1">
              <w:rPr>
                <w:sz w:val="22"/>
                <w:szCs w:val="22"/>
                <w:lang w:val="kk-KZ"/>
              </w:rPr>
              <w:t xml:space="preserve"> топ құрау және «</w:t>
            </w:r>
            <w:r w:rsidR="007A39C1" w:rsidRPr="00D175D8">
              <w:rPr>
                <w:b/>
                <w:i/>
                <w:sz w:val="22"/>
                <w:szCs w:val="22"/>
                <w:lang w:val="kk-KZ"/>
              </w:rPr>
              <w:t>тайм кипер</w:t>
            </w:r>
            <w:r w:rsidR="007A39C1">
              <w:rPr>
                <w:sz w:val="22"/>
                <w:szCs w:val="22"/>
                <w:lang w:val="kk-KZ"/>
              </w:rPr>
              <w:t>» сайлау</w:t>
            </w:r>
          </w:p>
          <w:p w:rsidR="007A39C1" w:rsidRDefault="007A39C1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Регламент</w:t>
            </w:r>
            <w:r w:rsidR="00465C7C">
              <w:rPr>
                <w:sz w:val="22"/>
                <w:szCs w:val="22"/>
                <w:lang w:val="kk-KZ"/>
              </w:rPr>
              <w:t>: 1-</w:t>
            </w:r>
            <w:r>
              <w:rPr>
                <w:sz w:val="22"/>
                <w:szCs w:val="22"/>
                <w:lang w:val="kk-KZ"/>
              </w:rPr>
              <w:t xml:space="preserve"> 2 </w:t>
            </w:r>
            <w:r w:rsidR="00465C7C">
              <w:rPr>
                <w:sz w:val="22"/>
                <w:szCs w:val="22"/>
                <w:lang w:val="kk-KZ"/>
              </w:rPr>
              <w:t xml:space="preserve">спикерлер 3 </w:t>
            </w:r>
            <w:r>
              <w:rPr>
                <w:sz w:val="22"/>
                <w:szCs w:val="22"/>
                <w:lang w:val="kk-KZ"/>
              </w:rPr>
              <w:t>минуттан,</w:t>
            </w:r>
            <w:r w:rsidR="00465C7C">
              <w:rPr>
                <w:sz w:val="22"/>
                <w:szCs w:val="22"/>
                <w:lang w:val="kk-KZ"/>
              </w:rPr>
              <w:t xml:space="preserve"> 3-спикерлер 2 минуттан.</w:t>
            </w:r>
            <w:r>
              <w:rPr>
                <w:sz w:val="22"/>
                <w:szCs w:val="22"/>
                <w:lang w:val="kk-KZ"/>
              </w:rPr>
              <w:t xml:space="preserve"> сұрақ-жауап 2 минут</w:t>
            </w:r>
          </w:p>
          <w:p w:rsidR="007A39C1" w:rsidRDefault="007A39C1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r w:rsidRPr="00D175D8">
              <w:rPr>
                <w:b/>
                <w:i/>
                <w:sz w:val="22"/>
                <w:szCs w:val="22"/>
                <w:lang w:val="kk-KZ"/>
              </w:rPr>
              <w:t>Критерий</w:t>
            </w:r>
            <w:r>
              <w:rPr>
                <w:sz w:val="22"/>
                <w:szCs w:val="22"/>
                <w:lang w:val="kk-KZ"/>
              </w:rPr>
              <w:t xml:space="preserve"> беру:  </w:t>
            </w:r>
            <w:r w:rsidR="00465C7C">
              <w:rPr>
                <w:sz w:val="22"/>
                <w:szCs w:val="22"/>
                <w:lang w:val="kk-KZ"/>
              </w:rPr>
              <w:t>Жақтаушы топқа: Астық молшылығы және инфрақұрылым, Даттаушы топқа: Салт-дәстүр, әдет-ғұрып, мәдениет</w:t>
            </w:r>
            <w:r w:rsidR="00352205">
              <w:rPr>
                <w:sz w:val="22"/>
                <w:szCs w:val="22"/>
                <w:lang w:val="kk-KZ"/>
              </w:rPr>
              <w:t>, ана тіл-ұлттың тұрақты белгілері</w:t>
            </w:r>
          </w:p>
          <w:p w:rsidR="007A39C1" w:rsidRDefault="007A39C1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Әр топтан өз дәйектерін келтіру, факт</w:t>
            </w:r>
            <w:r w:rsidR="00352205">
              <w:rPr>
                <w:sz w:val="22"/>
                <w:szCs w:val="22"/>
                <w:lang w:val="kk-KZ"/>
              </w:rPr>
              <w:t>і</w:t>
            </w:r>
            <w:r>
              <w:rPr>
                <w:sz w:val="22"/>
                <w:szCs w:val="22"/>
                <w:lang w:val="kk-KZ"/>
              </w:rPr>
              <w:t xml:space="preserve">лермен дәлелдеу, өз </w:t>
            </w:r>
            <w:r w:rsidRPr="00D175D8">
              <w:rPr>
                <w:b/>
                <w:i/>
                <w:sz w:val="22"/>
                <w:szCs w:val="22"/>
                <w:lang w:val="kk-KZ"/>
              </w:rPr>
              <w:t>кейстерін ұсыну</w:t>
            </w:r>
          </w:p>
          <w:p w:rsidR="007A39C1" w:rsidRDefault="007A39C1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 спикерлер ребатл(</w:t>
            </w:r>
            <w:r w:rsidRPr="00D175D8">
              <w:rPr>
                <w:b/>
                <w:i/>
                <w:sz w:val="22"/>
                <w:szCs w:val="22"/>
                <w:lang w:val="kk-KZ"/>
              </w:rPr>
              <w:t>қақтығыс) ұйымдастыру</w:t>
            </w:r>
          </w:p>
          <w:p w:rsidR="007A39C1" w:rsidRDefault="007A39C1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 спикерлер анализ, </w:t>
            </w:r>
            <w:r w:rsidRPr="00D175D8">
              <w:rPr>
                <w:b/>
                <w:i/>
                <w:sz w:val="22"/>
                <w:szCs w:val="22"/>
                <w:lang w:val="kk-KZ"/>
              </w:rPr>
              <w:t>талдау жасау</w:t>
            </w:r>
          </w:p>
          <w:p w:rsidR="00D175D8" w:rsidRDefault="00D175D8" w:rsidP="007A39C1">
            <w:pPr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Қай топ басым ,неге басым болғаны туралы сарапшы топтың </w:t>
            </w:r>
            <w:r w:rsidRPr="00D175D8">
              <w:rPr>
                <w:b/>
                <w:i/>
                <w:sz w:val="22"/>
                <w:szCs w:val="22"/>
                <w:lang w:val="kk-KZ"/>
              </w:rPr>
              <w:t>бағалауы</w:t>
            </w:r>
          </w:p>
          <w:p w:rsidR="00D175D8" w:rsidRDefault="00D175D8" w:rsidP="007A39C1">
            <w:pPr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  <w:r w:rsidRPr="00D175D8">
              <w:rPr>
                <w:sz w:val="22"/>
                <w:szCs w:val="22"/>
                <w:lang w:val="kk-KZ"/>
              </w:rPr>
              <w:t>Үздік спикерді анықтау</w:t>
            </w:r>
            <w:r>
              <w:rPr>
                <w:b/>
                <w:i/>
                <w:sz w:val="22"/>
                <w:szCs w:val="22"/>
                <w:lang w:val="kk-KZ"/>
              </w:rPr>
              <w:t>,</w:t>
            </w:r>
            <w:r w:rsidR="007F281D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kk-KZ"/>
              </w:rPr>
              <w:t>марапаттау</w:t>
            </w:r>
          </w:p>
          <w:p w:rsidR="00D175D8" w:rsidRPr="004F3C8B" w:rsidRDefault="00D175D8" w:rsidP="007A39C1">
            <w:pPr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02214B" w:rsidRPr="004F3C8B" w:rsidTr="00D175D8">
        <w:trPr>
          <w:trHeight w:val="621"/>
        </w:trPr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8420FC" w:rsidRDefault="008420FC" w:rsidP="00BC1AC4">
            <w:pPr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Түйін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214B" w:rsidRPr="00D175D8" w:rsidRDefault="00D175D8" w:rsidP="00D175D8">
            <w:pPr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Қорытынды.  Қай   топтың дәйектері , келтірген аргументтері,  ақындардың сөздері тақырып мәнін аша білді.  Ең үздік спикер....</w:t>
            </w:r>
          </w:p>
        </w:tc>
      </w:tr>
      <w:tr w:rsidR="00D95821" w:rsidRPr="004F3C8B" w:rsidTr="00D175D8">
        <w:trPr>
          <w:trHeight w:val="621"/>
        </w:trPr>
        <w:tc>
          <w:tcPr>
            <w:tcW w:w="241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D95821" w:rsidRDefault="00D95821" w:rsidP="00BC1AC4">
            <w:pPr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Рефлексия</w:t>
            </w:r>
          </w:p>
        </w:tc>
        <w:tc>
          <w:tcPr>
            <w:tcW w:w="75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D95821" w:rsidRDefault="00D95821" w:rsidP="00D175D8">
            <w:pPr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</w:tbl>
    <w:p w:rsidR="006217CA" w:rsidRDefault="006217CA">
      <w:pPr>
        <w:rPr>
          <w:lang w:val="kk-KZ"/>
        </w:rPr>
      </w:pPr>
    </w:p>
    <w:p w:rsidR="00572DC8" w:rsidRDefault="00572DC8">
      <w:pPr>
        <w:rPr>
          <w:lang w:val="kk-KZ"/>
        </w:rPr>
      </w:pPr>
    </w:p>
    <w:p w:rsidR="00572DC8" w:rsidRPr="0002214B" w:rsidRDefault="00572DC8">
      <w:pPr>
        <w:rPr>
          <w:lang w:val="kk-KZ"/>
        </w:rPr>
      </w:pPr>
      <w:bookmarkStart w:id="0" w:name="_GoBack"/>
      <w:bookmarkEnd w:id="0"/>
    </w:p>
    <w:sectPr w:rsidR="00572DC8" w:rsidRPr="0002214B" w:rsidSect="007A39C1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3E"/>
    <w:multiLevelType w:val="hybridMultilevel"/>
    <w:tmpl w:val="0960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214B"/>
    <w:rsid w:val="0002214B"/>
    <w:rsid w:val="000E342E"/>
    <w:rsid w:val="00104FFC"/>
    <w:rsid w:val="00352205"/>
    <w:rsid w:val="00465C7C"/>
    <w:rsid w:val="004F4109"/>
    <w:rsid w:val="00572DC8"/>
    <w:rsid w:val="00582F73"/>
    <w:rsid w:val="005A151A"/>
    <w:rsid w:val="006217CA"/>
    <w:rsid w:val="006543AD"/>
    <w:rsid w:val="007774E4"/>
    <w:rsid w:val="007A39C1"/>
    <w:rsid w:val="007F281D"/>
    <w:rsid w:val="008420FC"/>
    <w:rsid w:val="00D175D8"/>
    <w:rsid w:val="00D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214B"/>
    <w:rPr>
      <w:color w:val="0000FF"/>
      <w:u w:val="single"/>
    </w:rPr>
  </w:style>
  <w:style w:type="paragraph" w:styleId="a4">
    <w:name w:val="List Paragraph"/>
    <w:basedOn w:val="a"/>
    <w:qFormat/>
    <w:rsid w:val="000221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A1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Dautova</dc:creator>
  <cp:keywords/>
  <dc:description/>
  <cp:lastModifiedBy>Пользователь Windows</cp:lastModifiedBy>
  <cp:revision>18</cp:revision>
  <dcterms:created xsi:type="dcterms:W3CDTF">2013-07-07T07:45:00Z</dcterms:created>
  <dcterms:modified xsi:type="dcterms:W3CDTF">2020-11-25T07:59:00Z</dcterms:modified>
</cp:coreProperties>
</file>