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54.0" w:type="dxa"/>
        <w:jc w:val="left"/>
        <w:tblInd w:w="-139.0" w:type="dxa"/>
        <w:tblLayout w:type="fixed"/>
        <w:tblLook w:val="0000"/>
      </w:tblPr>
      <w:tblGrid>
        <w:gridCol w:w="2155"/>
        <w:gridCol w:w="440"/>
        <w:gridCol w:w="4196"/>
        <w:gridCol w:w="1838"/>
        <w:gridCol w:w="807"/>
        <w:gridCol w:w="3232"/>
        <w:gridCol w:w="1786"/>
        <w:tblGridChange w:id="0">
          <w:tblGrid>
            <w:gridCol w:w="2155"/>
            <w:gridCol w:w="440"/>
            <w:gridCol w:w="4196"/>
            <w:gridCol w:w="1838"/>
            <w:gridCol w:w="807"/>
            <w:gridCol w:w="3232"/>
            <w:gridCol w:w="1786"/>
          </w:tblGrid>
        </w:tblGridChange>
      </w:tblGrid>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Бөлім: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rPr/>
            </w:pPr>
            <w:r w:rsidDel="00000000" w:rsidR="00000000" w:rsidRPr="00000000">
              <w:rPr>
                <w:rtl w:val="0"/>
              </w:rPr>
              <w:t xml:space="preserve">Өмір қаіпсіздігі және ақпараттық технологиялар негіздері</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Педагогтің аты:</w:t>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Бакиров И.Н</w:t>
            </w:r>
          </w:p>
        </w:tc>
      </w:tr>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Күні:</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01-11.04.24</w:t>
            </w:r>
          </w:p>
        </w:tc>
      </w:tr>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Сынып:10 А,Ә,Г</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Қатысушылар саны:</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Қатыспағандар саны:</w:t>
            </w:r>
          </w:p>
        </w:tc>
      </w:tr>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Сабақтың тақырыбы</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rPr/>
            </w:pPr>
            <w:r w:rsidDel="00000000" w:rsidR="00000000" w:rsidRPr="00000000">
              <w:rPr>
                <w:rtl w:val="0"/>
              </w:rPr>
              <w:t xml:space="preserve">Биологиялық (бактерологиялық) қару</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25">
            <w:pPr>
              <w:spacing w:after="20" w:lineRule="auto"/>
              <w:ind w:left="20" w:firstLine="0"/>
              <w:rPr/>
            </w:pPr>
            <w:r w:rsidDel="00000000" w:rsidR="00000000" w:rsidRPr="00000000">
              <w:rPr>
                <w:rtl w:val="0"/>
              </w:rPr>
              <w:t xml:space="preserve">Оқу бағдарламасына сәйкес оқыту мақсаттары</w:t>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200" w:lineRule="auto"/>
              <w:rPr/>
            </w:pPr>
            <w:r w:rsidDel="00000000" w:rsidR="00000000" w:rsidRPr="00000000">
              <w:rPr>
                <w:rtl w:val="0"/>
              </w:rPr>
              <w:t xml:space="preserve"> .Бактерологиялық құралдардың сипаттарына қарай зақымдаушы әсерін анықтау.  Бактерологиялық зақымдау ошағында жүргізілетін іс-шараларға сипаттама жасау.Биологиялық қарудан қорғанудың негізгі құралдарымен танысу</w:t>
            </w:r>
          </w:p>
        </w:tc>
      </w:tr>
      <w:tr>
        <w:trPr>
          <w:cantSplit w:val="0"/>
          <w:trHeight w:val="31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Сабақтың мақсаты</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after="200" w:lineRule="auto"/>
              <w:rPr/>
            </w:pPr>
            <w:r w:rsidDel="00000000" w:rsidR="00000000" w:rsidRPr="00000000">
              <w:rPr>
                <w:rtl w:val="0"/>
              </w:rPr>
              <w:t xml:space="preserve">Биологиялық қарудан қорғанудың негізгі құралдарымен танысу.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widowControl w:val="1"/>
              <w:spacing w:after="200" w:line="276" w:lineRule="auto"/>
              <w:rPr>
                <w:sz w:val="20"/>
                <w:szCs w:val="20"/>
              </w:rPr>
            </w:pPr>
            <w:r w:rsidDel="00000000" w:rsidR="00000000" w:rsidRPr="00000000">
              <w:rPr>
                <w:rtl w:val="0"/>
              </w:rPr>
              <w:t xml:space="preserve">Сабақ барысы</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spacing w:after="160" w:lineRule="auto"/>
              <w:jc w:val="center"/>
              <w:rPr/>
            </w:pPr>
            <w:r w:rsidDel="00000000" w:rsidR="00000000" w:rsidRPr="00000000">
              <w:rPr>
                <w:sz w:val="20"/>
                <w:szCs w:val="20"/>
                <w:rtl w:val="0"/>
              </w:rPr>
              <w:t xml:space="preserve">Сабақ кезеңі/Уақыты</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Педагогтің әрекеті</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Оқушының әрекеті</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Бағалау</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Ресурстар</w:t>
            </w:r>
            <w:r w:rsidDel="00000000" w:rsidR="00000000" w:rsidRPr="00000000">
              <w:rPr>
                <w:rtl w:val="0"/>
              </w:rPr>
            </w:r>
          </w:p>
        </w:tc>
      </w:tr>
      <w:tr>
        <w:trPr>
          <w:cantSplit w:val="0"/>
          <w:trHeight w:val="82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Сабақтың басы</w:t>
            </w:r>
          </w:p>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Қызығушылықты ояту.</w:t>
            </w:r>
          </w:p>
          <w:p w:rsidR="00000000" w:rsidDel="00000000" w:rsidP="00000000" w:rsidRDefault="00000000" w:rsidRPr="00000000" w14:paraId="00000043">
            <w:pPr>
              <w:spacing w:after="160" w:lineRule="auto"/>
              <w:jc w:val="center"/>
              <w:rPr>
                <w:b w:val="1"/>
                <w:sz w:val="20"/>
                <w:szCs w:val="20"/>
              </w:rPr>
            </w:pPr>
            <w:r w:rsidDel="00000000" w:rsidR="00000000" w:rsidRPr="00000000">
              <w:rPr>
                <w:sz w:val="20"/>
                <w:szCs w:val="20"/>
                <w:rtl w:val="0"/>
              </w:rPr>
              <w:t xml:space="preserve">7 мин.</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spacing w:after="160" w:lineRule="auto"/>
              <w:jc w:val="center"/>
              <w:rPr>
                <w:sz w:val="20"/>
                <w:szCs w:val="20"/>
              </w:rPr>
            </w:pPr>
            <w:r w:rsidDel="00000000" w:rsidR="00000000" w:rsidRPr="00000000">
              <w:rPr>
                <w:b w:val="1"/>
                <w:sz w:val="20"/>
                <w:szCs w:val="20"/>
                <w:rtl w:val="0"/>
              </w:rPr>
              <w:t xml:space="preserve"> </w:t>
            </w:r>
            <w:r w:rsidDel="00000000" w:rsidR="00000000" w:rsidRPr="00000000">
              <w:rPr>
                <w:rtl w:val="0"/>
              </w:rPr>
              <w:t xml:space="preserve"> Ұйымдастыру сәті.Оқытушы-ұйымдастырушы сапқа тұрғызады, взвод командирінен рапорт қабылдайды. Оқушылармен амандасады, түгендейды, киім үлгілерін тексереді.                                                                                Сабақтың тақырыбы мен мақсатымен таныстыру.                                                          Өткен тапсырманы сұрау </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Бөлімше командирі оқушыларды сапқа тұрғызып оқытушы-ұйымдастырушыға рапорт береді.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АӘжТД мұғалімімен амандасады.</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Мақсаты: оқушылар бойында идея немесе тілек білдіру, тыңдау дағдыларын дамытуға бағыттау, сондай-ақ барлық оқушыларды қатыстыру арқылы оқыту жағдайларын теңестіру.</w:t>
            </w:r>
          </w:p>
          <w:p w:rsidR="00000000" w:rsidDel="00000000" w:rsidP="00000000" w:rsidRDefault="00000000" w:rsidRPr="00000000" w14:paraId="0000004A">
            <w:pPr>
              <w:widowControl w:val="1"/>
              <w:spacing w:after="160" w:lineRule="auto"/>
              <w:jc w:val="center"/>
              <w:rPr/>
            </w:pPr>
            <w:r w:rsidDel="00000000" w:rsidR="00000000" w:rsidRPr="00000000">
              <w:rPr>
                <w:sz w:val="20"/>
                <w:szCs w:val="20"/>
                <w:rtl w:val="0"/>
              </w:rPr>
              <w:t xml:space="preserve">Оқушылардың сабаққа қатысу белсенділігіне қарай қалыптастырушы бағалау жүйесі бойынша бағаланады.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АӘжТД оқулық</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990600" cy="644525"/>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990600" cy="644525"/>
                          </a:xfrm>
                          <a:prstGeom prst="rect"/>
                          <a:ln/>
                        </pic:spPr>
                      </pic:pic>
                    </a:graphicData>
                  </a:graphic>
                </wp:inline>
              </w:drawing>
            </w:r>
            <w:r w:rsidDel="00000000" w:rsidR="00000000" w:rsidRPr="00000000">
              <w:rPr>
                <w:rtl w:val="0"/>
              </w:rPr>
            </w:r>
          </w:p>
        </w:tc>
      </w:tr>
      <w:tr>
        <w:trPr>
          <w:cantSplit w:val="0"/>
          <w:trHeight w:val="51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Жаңа сабақ кезеңі</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минут</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0">
            <w:pPr>
              <w:rPr/>
            </w:pPr>
            <w:r w:rsidDel="00000000" w:rsidR="00000000" w:rsidRPr="00000000">
              <w:rPr>
                <w:rtl w:val="0"/>
              </w:rPr>
              <w:t xml:space="preserve">Слайд, көрнекілік, бейнетаспа көрсету.       </w:t>
            </w:r>
            <w:r w:rsidDel="00000000" w:rsidR="00000000" w:rsidRPr="00000000">
              <w:rPr>
                <w:b w:val="1"/>
                <w:rtl w:val="0"/>
              </w:rPr>
              <w:t xml:space="preserve">Биологиялық қару (БҚ)</w:t>
            </w:r>
            <w:r w:rsidDel="00000000" w:rsidR="00000000" w:rsidRPr="00000000">
              <w:rPr>
                <w:rtl w:val="0"/>
              </w:rPr>
              <w:t xml:space="preserve"> – биологиялық заттармен жарақталған, жеткізу құралдары бар арнайы оқ-дәрілер мен ұрыс аспаптары. Ол қарсыластың тірі күшін, жан-жануарларды, ауыл шаруашылығы дақылдарын зақымдауға, кей жағдайда қару-жарақты, әскери техника мен жабдықтау материалдарын бүлдіру үшін қолданылады. Биологиялық қаруды қолданып ұрыс әрекеттерін жүргізуді </w:t>
            </w:r>
            <w:r w:rsidDel="00000000" w:rsidR="00000000" w:rsidRPr="00000000">
              <w:rPr>
                <w:b w:val="1"/>
                <w:rtl w:val="0"/>
              </w:rPr>
              <w:t xml:space="preserve">биологиялық соғыс</w:t>
            </w:r>
            <w:r w:rsidDel="00000000" w:rsidR="00000000" w:rsidRPr="00000000">
              <w:rPr>
                <w:rtl w:val="0"/>
              </w:rPr>
              <w:t xml:space="preserve"> дейді. </w:t>
            </w:r>
          </w:p>
          <w:p w:rsidR="00000000" w:rsidDel="00000000" w:rsidP="00000000" w:rsidRDefault="00000000" w:rsidRPr="00000000" w14:paraId="00000051">
            <w:pPr>
              <w:rPr>
                <w:b w:val="1"/>
              </w:rPr>
            </w:pPr>
            <w:r w:rsidDel="00000000" w:rsidR="00000000" w:rsidRPr="00000000">
              <w:rPr>
                <w:rtl w:val="0"/>
              </w:rPr>
              <w:t xml:space="preserve">Биологиялық қарудың зақымдау әрекеті бірнеше кезекте патогендік микробтар мен олардың улы өнімдерінің ауру тудырғыш қасиетін қолдануға негізделген. Адам (жануарлар) ағзасына аз түссе де, ауру тудырушы микробтар мен олардың улы өнімдері өте ауыр жұқпалы аурулар таратады; оны дер кезінде емдемесе өлім қаупін тудырады немесе зақымдалушыны ұзақ уақыт жарамсыз етеді.                          </w:t>
            </w:r>
            <w:r w:rsidDel="00000000" w:rsidR="00000000" w:rsidRPr="00000000">
              <w:rPr>
                <w:b w:val="1"/>
                <w:rtl w:val="0"/>
              </w:rPr>
              <w:t xml:space="preserve">БҚ ретінде мыналардың пайдаланылуы мүмкін: Адамдарды зақымдау үшін: </w:t>
            </w:r>
            <w:r w:rsidDel="00000000" w:rsidR="00000000" w:rsidRPr="00000000">
              <w:rPr>
                <w:rtl w:val="0"/>
              </w:rPr>
              <w:t xml:space="preserve">бактериялық ауруларды қоздырғыштар (оба, тулермия, сарып, күйдіргі, тырысқақ); вирустық ауруларды қоздырғыштар (шешек, қызба, венесуэлалық энцефоломиелит); риккетсиздарды қоздырғыштар (бөртпе, сүзек, таңбалы қызба, Қу-қызба);</w:t>
            </w:r>
            <w:r w:rsidDel="00000000" w:rsidR="00000000" w:rsidRPr="00000000">
              <w:rPr>
                <w:rtl w:val="0"/>
              </w:rPr>
            </w:r>
          </w:p>
          <w:p w:rsidR="00000000" w:rsidDel="00000000" w:rsidP="00000000" w:rsidRDefault="00000000" w:rsidRPr="00000000" w14:paraId="00000052">
            <w:pPr>
              <w:spacing w:after="160" w:lineRule="auto"/>
              <w:rPr>
                <w:sz w:val="20"/>
                <w:szCs w:val="20"/>
              </w:rPr>
            </w:pPr>
            <w:r w:rsidDel="00000000" w:rsidR="00000000" w:rsidRPr="00000000">
              <w:rPr>
                <w:b w:val="1"/>
                <w:rtl w:val="0"/>
              </w:rPr>
              <w:t xml:space="preserve">Жануарларды зақымдау үшін: </w:t>
            </w:r>
            <w:r w:rsidDel="00000000" w:rsidR="00000000" w:rsidRPr="00000000">
              <w:rPr>
                <w:rtl w:val="0"/>
              </w:rPr>
              <w:t xml:space="preserve">аусылдың, ірі қара обасының, шошқа обасының, күйдіргінің, маңқаның, жалған құтырудың және басқа аурулардың қоздырғыштары; БҚ-дың зақымдаушы әрекеті бірден көрінбейді, ол ағзаға түскен микробтар мен токсиндердің түрі мен санына, ағзаның күйіне байланысты. Инкубациялық кезең бірнеше сағаттан 14 күнге дейін созылады, мысалы, тулермияда 6 тәулікке, ал бөртпе сүзекте 14 тәулікке дейін болады. </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4">
            <w:pPr>
              <w:tabs>
                <w:tab w:val="left" w:leader="none" w:pos="0"/>
              </w:tabs>
              <w:rPr>
                <w:sz w:val="20"/>
                <w:szCs w:val="20"/>
              </w:rPr>
            </w:pPr>
            <w:r w:rsidDel="00000000" w:rsidR="00000000" w:rsidRPr="00000000">
              <w:rPr>
                <w:sz w:val="20"/>
                <w:szCs w:val="20"/>
                <w:rtl w:val="0"/>
              </w:rPr>
              <w:t xml:space="preserve"> Сұрақтар мен тапсырмалар: </w:t>
            </w:r>
          </w:p>
          <w:p w:rsidR="00000000" w:rsidDel="00000000" w:rsidP="00000000" w:rsidRDefault="00000000" w:rsidRPr="00000000" w14:paraId="00000055">
            <w:pPr>
              <w:tabs>
                <w:tab w:val="left" w:leader="none" w:pos="0"/>
              </w:tabs>
              <w:spacing w:after="160" w:lineRule="auto"/>
              <w:ind w:firstLine="142"/>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7">
            <w:pPr>
              <w:tabs>
                <w:tab w:val="left" w:leader="none" w:pos="0"/>
                <w:tab w:val="left" w:leader="none" w:pos="284"/>
                <w:tab w:val="left" w:leader="none" w:pos="426"/>
              </w:tabs>
              <w:spacing w:after="160" w:lineRule="auto"/>
              <w:ind w:right="-285" w:hanging="142"/>
              <w:jc w:val="center"/>
              <w:rPr>
                <w:sz w:val="20"/>
                <w:szCs w:val="20"/>
              </w:rPr>
            </w:pPr>
            <w:r w:rsidDel="00000000" w:rsidR="00000000" w:rsidRPr="00000000">
              <w:rPr>
                <w:sz w:val="18"/>
                <w:szCs w:val="18"/>
                <w:rtl w:val="0"/>
              </w:rPr>
              <w:t xml:space="preserve"> </w:t>
            </w:r>
            <w:r w:rsidDel="00000000" w:rsidR="00000000" w:rsidRPr="00000000">
              <w:rPr>
                <w:sz w:val="20"/>
                <w:szCs w:val="20"/>
                <w:rtl w:val="0"/>
              </w:rPr>
              <w:t xml:space="preserve">Оқушылардың </w:t>
            </w:r>
          </w:p>
          <w:p w:rsidR="00000000" w:rsidDel="00000000" w:rsidP="00000000" w:rsidRDefault="00000000" w:rsidRPr="00000000" w14:paraId="00000058">
            <w:pPr>
              <w:tabs>
                <w:tab w:val="left" w:leader="none" w:pos="0"/>
                <w:tab w:val="left" w:leader="none" w:pos="284"/>
                <w:tab w:val="left" w:leader="none" w:pos="426"/>
              </w:tabs>
              <w:spacing w:after="160" w:lineRule="auto"/>
              <w:ind w:right="-285" w:hanging="142"/>
              <w:jc w:val="center"/>
              <w:rPr>
                <w:sz w:val="20"/>
                <w:szCs w:val="20"/>
              </w:rPr>
            </w:pPr>
            <w:r w:rsidDel="00000000" w:rsidR="00000000" w:rsidRPr="00000000">
              <w:rPr>
                <w:sz w:val="20"/>
                <w:szCs w:val="20"/>
                <w:rtl w:val="0"/>
              </w:rPr>
              <w:t xml:space="preserve">сабаққа қатысу белсенділігіне қарай </w:t>
            </w:r>
          </w:p>
          <w:p w:rsidR="00000000" w:rsidDel="00000000" w:rsidP="00000000" w:rsidRDefault="00000000" w:rsidRPr="00000000" w14:paraId="00000059">
            <w:pPr>
              <w:tabs>
                <w:tab w:val="left" w:leader="none" w:pos="0"/>
                <w:tab w:val="left" w:leader="none" w:pos="284"/>
                <w:tab w:val="left" w:leader="none" w:pos="426"/>
              </w:tabs>
              <w:spacing w:after="160" w:lineRule="auto"/>
              <w:ind w:right="-285" w:hanging="142"/>
              <w:jc w:val="center"/>
              <w:rPr>
                <w:sz w:val="20"/>
                <w:szCs w:val="20"/>
              </w:rPr>
            </w:pPr>
            <w:r w:rsidDel="00000000" w:rsidR="00000000" w:rsidRPr="00000000">
              <w:rPr>
                <w:sz w:val="20"/>
                <w:szCs w:val="20"/>
                <w:rtl w:val="0"/>
              </w:rPr>
              <w:t xml:space="preserve">қалыптастырушы бағалау</w:t>
            </w:r>
          </w:p>
          <w:p w:rsidR="00000000" w:rsidDel="00000000" w:rsidP="00000000" w:rsidRDefault="00000000" w:rsidRPr="00000000" w14:paraId="0000005A">
            <w:pPr>
              <w:tabs>
                <w:tab w:val="left" w:leader="none" w:pos="0"/>
                <w:tab w:val="left" w:leader="none" w:pos="284"/>
                <w:tab w:val="left" w:leader="none" w:pos="426"/>
              </w:tabs>
              <w:spacing w:after="160" w:lineRule="auto"/>
              <w:ind w:right="-285" w:hanging="142"/>
              <w:jc w:val="center"/>
              <w:rPr/>
            </w:pPr>
            <w:r w:rsidDel="00000000" w:rsidR="00000000" w:rsidRPr="00000000">
              <w:rPr>
                <w:sz w:val="20"/>
                <w:szCs w:val="20"/>
                <w:rtl w:val="0"/>
              </w:rPr>
              <w:t xml:space="preserve"> жүйесі бойынша бағаланады.</w:t>
            </w:r>
            <w:r w:rsidDel="00000000" w:rsidR="00000000" w:rsidRPr="00000000">
              <w:rPr>
                <w:rtl w:val="0"/>
              </w:rPr>
            </w:r>
          </w:p>
          <w:p w:rsidR="00000000" w:rsidDel="00000000" w:rsidP="00000000" w:rsidRDefault="00000000" w:rsidRPr="00000000" w14:paraId="0000005B">
            <w:pPr>
              <w:tabs>
                <w:tab w:val="left" w:leader="none" w:pos="0"/>
                <w:tab w:val="left" w:leader="none" w:pos="284"/>
                <w:tab w:val="left" w:leader="none" w:pos="426"/>
              </w:tabs>
              <w:spacing w:after="160" w:lineRule="auto"/>
              <w:ind w:right="-285" w:hanging="142"/>
              <w:jc w:val="center"/>
              <w:rPr>
                <w:sz w:val="18"/>
                <w:szCs w:val="18"/>
              </w:rPr>
            </w:pPr>
            <w:r w:rsidDel="00000000" w:rsidR="00000000" w:rsidRPr="00000000">
              <w:rPr>
                <w:sz w:val="18"/>
                <w:szCs w:val="18"/>
              </w:rPr>
              <w:drawing>
                <wp:inline distB="0" distT="0" distL="0" distR="0">
                  <wp:extent cx="955675" cy="7620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55675" cy="7620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60" w:before="60" w:lineRule="auto"/>
              <w:rPr>
                <w:sz w:val="22"/>
                <w:szCs w:val="22"/>
              </w:rPr>
            </w:pPr>
            <w:r w:rsidDel="00000000" w:rsidR="00000000" w:rsidRPr="00000000">
              <w:rPr>
                <w:sz w:val="18"/>
                <w:szCs w:val="18"/>
                <w:rtl w:val="0"/>
              </w:rPr>
              <w:t xml:space="preserve">  </w:t>
            </w:r>
            <w:r w:rsidDel="00000000" w:rsidR="00000000" w:rsidRPr="00000000">
              <w:rPr>
                <w:sz w:val="22"/>
                <w:szCs w:val="22"/>
                <w:rtl w:val="0"/>
              </w:rPr>
              <w:t xml:space="preserve">Суреттер сызбаларды сызу</w:t>
            </w:r>
          </w:p>
          <w:p w:rsidR="00000000" w:rsidDel="00000000" w:rsidP="00000000" w:rsidRDefault="00000000" w:rsidRPr="00000000" w14:paraId="0000005D">
            <w:pPr>
              <w:spacing w:after="60" w:before="60" w:lineRule="auto"/>
              <w:rPr>
                <w:sz w:val="22"/>
                <w:szCs w:val="22"/>
              </w:rPr>
            </w:pPr>
            <w:r w:rsidDel="00000000" w:rsidR="00000000" w:rsidRPr="00000000">
              <w:rPr>
                <w:sz w:val="22"/>
                <w:szCs w:val="22"/>
                <w:rtl w:val="0"/>
              </w:rPr>
              <w:t xml:space="preserve">Тірек сызбалар</w:t>
            </w:r>
          </w:p>
          <w:p w:rsidR="00000000" w:rsidDel="00000000" w:rsidP="00000000" w:rsidRDefault="00000000" w:rsidRPr="00000000" w14:paraId="0000005E">
            <w:pPr>
              <w:spacing w:after="60" w:before="60" w:lineRule="auto"/>
              <w:rPr>
                <w:sz w:val="22"/>
                <w:szCs w:val="22"/>
              </w:rPr>
            </w:pPr>
            <w:r w:rsidDel="00000000" w:rsidR="00000000" w:rsidRPr="00000000">
              <w:rPr>
                <w:sz w:val="22"/>
                <w:szCs w:val="22"/>
                <w:rtl w:val="0"/>
              </w:rPr>
              <w:t xml:space="preserve">Кесте </w:t>
            </w:r>
          </w:p>
          <w:p w:rsidR="00000000" w:rsidDel="00000000" w:rsidP="00000000" w:rsidRDefault="00000000" w:rsidRPr="00000000" w14:paraId="0000005F">
            <w:pPr>
              <w:spacing w:after="60" w:before="60" w:lineRule="auto"/>
              <w:rPr>
                <w:sz w:val="22"/>
                <w:szCs w:val="22"/>
              </w:rPr>
            </w:pPr>
            <w:r w:rsidDel="00000000" w:rsidR="00000000" w:rsidRPr="00000000">
              <w:rPr>
                <w:sz w:val="22"/>
                <w:szCs w:val="22"/>
                <w:rtl w:val="0"/>
              </w:rPr>
              <w:t xml:space="preserve">Конспект</w:t>
            </w:r>
          </w:p>
          <w:p w:rsidR="00000000" w:rsidDel="00000000" w:rsidP="00000000" w:rsidRDefault="00000000" w:rsidRPr="00000000" w14:paraId="00000060">
            <w:pPr>
              <w:spacing w:after="60" w:before="60" w:lineRule="auto"/>
              <w:rPr>
                <w:sz w:val="22"/>
                <w:szCs w:val="22"/>
              </w:rPr>
            </w:pPr>
            <w:r w:rsidDel="00000000" w:rsidR="00000000" w:rsidRPr="00000000">
              <w:rPr>
                <w:rtl w:val="0"/>
              </w:rPr>
            </w:r>
          </w:p>
          <w:p w:rsidR="00000000" w:rsidDel="00000000" w:rsidP="00000000" w:rsidRDefault="00000000" w:rsidRPr="00000000" w14:paraId="00000061">
            <w:pPr>
              <w:spacing w:after="60" w:before="60" w:lineRule="auto"/>
              <w:rPr/>
            </w:pPr>
            <w:r w:rsidDel="00000000" w:rsidR="00000000" w:rsidRPr="00000000">
              <w:rPr>
                <w:sz w:val="22"/>
                <w:szCs w:val="22"/>
              </w:rPr>
              <w:drawing>
                <wp:inline distB="0" distT="0" distL="0" distR="0">
                  <wp:extent cx="990600" cy="77597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990600" cy="775970"/>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Қорытынды кезең</w:t>
            </w: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t xml:space="preserve">Ой толғаныс.</w:t>
            </w:r>
          </w:p>
          <w:p w:rsidR="00000000" w:rsidDel="00000000" w:rsidP="00000000" w:rsidRDefault="00000000" w:rsidRPr="00000000" w14:paraId="00000064">
            <w:pPr>
              <w:jc w:val="center"/>
              <w:rPr/>
            </w:pPr>
            <w:r w:rsidDel="00000000" w:rsidR="00000000" w:rsidRPr="00000000">
              <w:rPr>
                <w:rtl w:val="0"/>
              </w:rPr>
              <w:t xml:space="preserve">Рефлексия</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мин.</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6">
            <w:pPr>
              <w:ind w:firstLine="284"/>
              <w:rPr>
                <w:b w:val="1"/>
              </w:rPr>
            </w:pPr>
            <w:r w:rsidDel="00000000" w:rsidR="00000000" w:rsidRPr="00000000">
              <w:rPr>
                <w:b w:val="1"/>
                <w:rtl w:val="0"/>
              </w:rPr>
              <w:t xml:space="preserve">Сұрақтар мен тапсырмалар:                   </w:t>
            </w:r>
            <w:r w:rsidDel="00000000" w:rsidR="00000000" w:rsidRPr="00000000">
              <w:rPr>
                <w:rtl w:val="0"/>
              </w:rPr>
              <w:t xml:space="preserve">«Өзін өзі бағалау»</w:t>
            </w:r>
            <w:r w:rsidDel="00000000" w:rsidR="00000000" w:rsidRPr="00000000">
              <w:rPr>
                <w:rtl w:val="0"/>
              </w:rPr>
            </w:r>
          </w:p>
          <w:p w:rsidR="00000000" w:rsidDel="00000000" w:rsidP="00000000" w:rsidRDefault="00000000" w:rsidRPr="00000000" w14:paraId="00000067">
            <w:pPr>
              <w:ind w:firstLine="284"/>
              <w:jc w:val="both"/>
              <w:rPr/>
            </w:pPr>
            <w:r w:rsidDel="00000000" w:rsidR="00000000" w:rsidRPr="00000000">
              <w:rPr>
                <w:b w:val="1"/>
                <w:rtl w:val="0"/>
              </w:rPr>
              <w:t xml:space="preserve">Сұрақтар мен тапсырмалар:</w:t>
            </w:r>
            <w:r w:rsidDel="00000000" w:rsidR="00000000" w:rsidRPr="00000000">
              <w:rPr>
                <w:rtl w:val="0"/>
              </w:rPr>
            </w:r>
          </w:p>
          <w:p w:rsidR="00000000" w:rsidDel="00000000" w:rsidP="00000000" w:rsidRDefault="00000000" w:rsidRPr="00000000" w14:paraId="00000068">
            <w:pPr>
              <w:ind w:firstLine="284"/>
              <w:jc w:val="both"/>
              <w:rPr/>
            </w:pPr>
            <w:r w:rsidDel="00000000" w:rsidR="00000000" w:rsidRPr="00000000">
              <w:rPr>
                <w:rtl w:val="0"/>
              </w:rPr>
              <w:t xml:space="preserve">- Биологиялық қаруға анықтама беріңіздер.</w:t>
            </w:r>
          </w:p>
          <w:p w:rsidR="00000000" w:rsidDel="00000000" w:rsidP="00000000" w:rsidRDefault="00000000" w:rsidRPr="00000000" w14:paraId="00000069">
            <w:pPr>
              <w:ind w:firstLine="284"/>
              <w:jc w:val="both"/>
              <w:rPr/>
            </w:pPr>
            <w:r w:rsidDel="00000000" w:rsidR="00000000" w:rsidRPr="00000000">
              <w:rPr>
                <w:rtl w:val="0"/>
              </w:rPr>
              <w:t xml:space="preserve">- Биологиялық қарудың зақымдаушы әрекеті неге негізделген?</w:t>
            </w:r>
          </w:p>
          <w:p w:rsidR="00000000" w:rsidDel="00000000" w:rsidP="00000000" w:rsidRDefault="00000000" w:rsidRPr="00000000" w14:paraId="0000006A">
            <w:pPr>
              <w:ind w:firstLine="284"/>
              <w:jc w:val="both"/>
              <w:rPr/>
            </w:pPr>
            <w:r w:rsidDel="00000000" w:rsidR="00000000" w:rsidRPr="00000000">
              <w:rPr>
                <w:rtl w:val="0"/>
              </w:rPr>
              <w:t xml:space="preserve">- Биологиялық қарудың тарихы туралы не білесіңдер? Биологиялық құралдарды  қару ретінде қолдану қашан басталған?</w:t>
            </w:r>
          </w:p>
          <w:p w:rsidR="00000000" w:rsidDel="00000000" w:rsidP="00000000" w:rsidRDefault="00000000" w:rsidRPr="00000000" w14:paraId="0000006B">
            <w:pPr>
              <w:ind w:firstLine="284"/>
              <w:jc w:val="both"/>
              <w:rPr/>
            </w:pPr>
            <w:r w:rsidDel="00000000" w:rsidR="00000000" w:rsidRPr="00000000">
              <w:rPr>
                <w:rtl w:val="0"/>
              </w:rPr>
              <w:t xml:space="preserve">- Биологиялық құралдардың түрлері мен негізгі қасиеттері туралы не білесіңдер?</w:t>
            </w:r>
          </w:p>
          <w:p w:rsidR="00000000" w:rsidDel="00000000" w:rsidP="00000000" w:rsidRDefault="00000000" w:rsidRPr="00000000" w14:paraId="0000006C">
            <w:pPr>
              <w:ind w:firstLine="284"/>
              <w:jc w:val="both"/>
              <w:rPr/>
            </w:pPr>
            <w:r w:rsidDel="00000000" w:rsidR="00000000" w:rsidRPr="00000000">
              <w:rPr>
                <w:rtl w:val="0"/>
              </w:rPr>
              <w:t xml:space="preserve">- Жануарларды, ауыл шаруашылық дақылдарын зақымдау үшін қандай қоздырушылар қолданылады?</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Үйге тапсырма:  №2, 146-145 бет</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0">
            <w:pPr>
              <w:tabs>
                <w:tab w:val="left" w:leader="none" w:pos="0"/>
              </w:tabs>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Жеке жұмыс:  </w:t>
            </w:r>
            <w:r w:rsidDel="00000000" w:rsidR="00000000" w:rsidRPr="00000000">
              <w:rPr>
                <w:sz w:val="20"/>
                <w:szCs w:val="20"/>
                <w:rtl w:val="0"/>
              </w:rPr>
              <w:t xml:space="preserve">- бүгінгі сабақта мен....түсіндім, ...білдім, ....көзімді жеткіздім.</w:t>
            </w:r>
          </w:p>
          <w:p w:rsidR="00000000" w:rsidDel="00000000" w:rsidP="00000000" w:rsidRDefault="00000000" w:rsidRPr="00000000" w14:paraId="00000071">
            <w:pPr>
              <w:spacing w:after="16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Жеке жұмыс:</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p w:rsidR="00000000" w:rsidDel="00000000" w:rsidP="00000000" w:rsidRDefault="00000000" w:rsidRPr="00000000" w14:paraId="00000075">
            <w:pPr>
              <w:spacing w:after="160" w:lineRule="auto"/>
              <w:jc w:val="center"/>
              <w:rPr/>
            </w:pPr>
            <w:r w:rsidDel="00000000" w:rsidR="00000000" w:rsidRPr="00000000">
              <w:rPr>
                <w:sz w:val="20"/>
                <w:szCs w:val="20"/>
                <w:rtl w:val="0"/>
              </w:rPr>
              <w:t xml:space="preserve">Оқушылардың сабаққа қатысу белсенжділігіне қарай қалыптастырушы бағалау жүйесі бойынша бағаланады.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886460" cy="699770"/>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86460" cy="69977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976630" cy="81026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76630" cy="81026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025525" cy="949325"/>
                  <wp:effectExtent b="0" l="0" r="0" t="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025525" cy="9493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pgSz w:h="11906" w:w="16838" w:orient="landscape"/>
      <w:pgMar w:bottom="850"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Play">
    <w:embedRegular w:fontKey="{00000000-0000-0000-0000-000000000000}" r:id="rId1" w:subsetted="0"/>
    <w:embedBold w:fontKey="{00000000-0000-0000-0000-000000000000}" r:id="rId2" w:subsetted="0"/>
  </w:font>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k-K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80" w:before="360" w:line="259" w:lineRule="auto"/>
    </w:pPr>
    <w:rPr>
      <w:rFonts w:ascii="Play" w:cs="Play" w:eastAsia="Play" w:hAnsi="Play"/>
      <w:color w:val="0f4761"/>
      <w:sz w:val="40"/>
      <w:szCs w:val="40"/>
    </w:rPr>
  </w:style>
  <w:style w:type="paragraph" w:styleId="Heading2">
    <w:name w:val="heading 2"/>
    <w:basedOn w:val="Normal"/>
    <w:next w:val="Normal"/>
    <w:pPr>
      <w:keepNext w:val="1"/>
      <w:keepLines w:val="1"/>
      <w:widowControl w:val="1"/>
      <w:spacing w:after="80" w:before="160" w:line="259" w:lineRule="auto"/>
    </w:pPr>
    <w:rPr>
      <w:rFonts w:ascii="Play" w:cs="Play" w:eastAsia="Play" w:hAnsi="Play"/>
      <w:color w:val="0f4761"/>
      <w:sz w:val="32"/>
      <w:szCs w:val="32"/>
    </w:rPr>
  </w:style>
  <w:style w:type="paragraph" w:styleId="Heading3">
    <w:name w:val="heading 3"/>
    <w:basedOn w:val="Normal"/>
    <w:next w:val="Normal"/>
    <w:pPr>
      <w:keepNext w:val="1"/>
      <w:keepLines w:val="1"/>
      <w:widowControl w:val="1"/>
      <w:spacing w:after="80" w:before="160" w:line="259" w:lineRule="auto"/>
    </w:pPr>
    <w:rPr>
      <w:rFonts w:ascii="Aptos" w:cs="Aptos" w:eastAsia="Aptos" w:hAnsi="Aptos"/>
      <w:color w:val="0f4761"/>
      <w:sz w:val="28"/>
      <w:szCs w:val="28"/>
    </w:rPr>
  </w:style>
  <w:style w:type="paragraph" w:styleId="Heading4">
    <w:name w:val="heading 4"/>
    <w:basedOn w:val="Normal"/>
    <w:next w:val="Normal"/>
    <w:pPr>
      <w:keepNext w:val="1"/>
      <w:keepLines w:val="1"/>
      <w:widowControl w:val="1"/>
      <w:spacing w:after="40" w:before="80" w:line="259" w:lineRule="auto"/>
    </w:pPr>
    <w:rPr>
      <w:rFonts w:ascii="Aptos" w:cs="Aptos" w:eastAsia="Aptos" w:hAnsi="Aptos"/>
      <w:i w:val="1"/>
      <w:color w:val="0f4761"/>
      <w:sz w:val="22"/>
      <w:szCs w:val="22"/>
    </w:rPr>
  </w:style>
  <w:style w:type="paragraph" w:styleId="Heading5">
    <w:name w:val="heading 5"/>
    <w:basedOn w:val="Normal"/>
    <w:next w:val="Normal"/>
    <w:pPr>
      <w:keepNext w:val="1"/>
      <w:keepLines w:val="1"/>
      <w:widowControl w:val="1"/>
      <w:spacing w:after="40" w:before="80" w:line="259" w:lineRule="auto"/>
    </w:pPr>
    <w:rPr>
      <w:rFonts w:ascii="Aptos" w:cs="Aptos" w:eastAsia="Aptos" w:hAnsi="Aptos"/>
      <w:color w:val="0f4761"/>
      <w:sz w:val="22"/>
      <w:szCs w:val="22"/>
    </w:rPr>
  </w:style>
  <w:style w:type="paragraph" w:styleId="Heading6">
    <w:name w:val="heading 6"/>
    <w:basedOn w:val="Normal"/>
    <w:next w:val="Normal"/>
    <w:pPr>
      <w:keepNext w:val="1"/>
      <w:keepLines w:val="1"/>
      <w:widowControl w:val="1"/>
      <w:spacing w:before="40" w:line="259" w:lineRule="auto"/>
    </w:pPr>
    <w:rPr>
      <w:rFonts w:ascii="Aptos" w:cs="Aptos" w:eastAsia="Aptos" w:hAnsi="Aptos"/>
      <w:i w:val="1"/>
      <w:color w:val="595959"/>
      <w:sz w:val="22"/>
      <w:szCs w:val="22"/>
    </w:rPr>
  </w:style>
  <w:style w:type="paragraph" w:styleId="Title">
    <w:name w:val="Title"/>
    <w:basedOn w:val="Normal"/>
    <w:next w:val="Normal"/>
    <w:pPr>
      <w:widowControl w:val="1"/>
      <w:spacing w:after="80" w:lineRule="auto"/>
    </w:pPr>
    <w:rPr>
      <w:rFonts w:ascii="Play" w:cs="Play" w:eastAsia="Play" w:hAnsi="Play"/>
      <w:sz w:val="56"/>
      <w:szCs w:val="56"/>
    </w:rPr>
  </w:style>
  <w:style w:type="paragraph" w:styleId="Subtitle">
    <w:name w:val="Subtitle"/>
    <w:basedOn w:val="Normal"/>
    <w:next w:val="Normal"/>
    <w:pPr>
      <w:widowControl w:val="1"/>
      <w:spacing w:after="160" w:line="259" w:lineRule="auto"/>
    </w:pPr>
    <w:rPr>
      <w:rFonts w:ascii="Aptos" w:cs="Aptos" w:eastAsia="Aptos" w:hAnsi="Aptos"/>
      <w:color w:val="595959"/>
      <w:sz w:val="28"/>
      <w:szCs w:val="2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