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69" w:rsidRPr="00F86069" w:rsidRDefault="00F86069" w:rsidP="00F86069">
      <w:pPr>
        <w:snapToGrid w:val="0"/>
        <w:spacing w:after="0" w:line="240" w:lineRule="auto"/>
        <w:jc w:val="center"/>
        <w:rPr>
          <w:rFonts w:ascii="Times New Roman" w:eastAsia="Times New Roman" w:hAnsi="Times New Roman" w:cs="Times New Roman"/>
          <w:bCs/>
          <w:sz w:val="28"/>
          <w:szCs w:val="28"/>
          <w:lang w:val="kk-KZ" w:eastAsia="ru-RU"/>
        </w:rPr>
      </w:pPr>
      <w:r w:rsidRPr="00F86069">
        <w:rPr>
          <w:rFonts w:ascii="Times New Roman" w:eastAsia="Times New Roman" w:hAnsi="Times New Roman" w:cs="Times New Roman"/>
          <w:bCs/>
          <w:sz w:val="28"/>
          <w:szCs w:val="28"/>
          <w:lang w:val="kk-KZ" w:eastAsia="ru-RU"/>
        </w:rPr>
        <w:t>Қазақстан Республикасынын білім және ғылым министрлігі</w:t>
      </w:r>
    </w:p>
    <w:p w:rsidR="00F86069" w:rsidRPr="00F86069" w:rsidRDefault="00F86069" w:rsidP="00F86069">
      <w:pPr>
        <w:snapToGrid w:val="0"/>
        <w:spacing w:after="0" w:line="240" w:lineRule="auto"/>
        <w:jc w:val="center"/>
        <w:rPr>
          <w:rFonts w:ascii="Times New Roman" w:eastAsia="Times New Roman" w:hAnsi="Times New Roman" w:cs="Times New Roman"/>
          <w:bCs/>
          <w:sz w:val="28"/>
          <w:szCs w:val="28"/>
          <w:lang w:val="kk-KZ" w:eastAsia="ru-RU"/>
        </w:rPr>
      </w:pPr>
      <w:r w:rsidRPr="00F86069">
        <w:rPr>
          <w:rFonts w:ascii="Times New Roman" w:eastAsia="Times New Roman" w:hAnsi="Times New Roman" w:cs="Times New Roman"/>
          <w:bCs/>
          <w:sz w:val="28"/>
          <w:szCs w:val="28"/>
          <w:lang w:val="ru-RU" w:eastAsia="ru-RU"/>
        </w:rPr>
        <w:t>Л.Н. Гумилев</w:t>
      </w:r>
      <w:r w:rsidRPr="00F86069">
        <w:rPr>
          <w:rFonts w:ascii="Times New Roman" w:eastAsia="Times New Roman" w:hAnsi="Times New Roman" w:cs="Times New Roman"/>
          <w:bCs/>
          <w:sz w:val="28"/>
          <w:szCs w:val="28"/>
          <w:lang w:val="kk-KZ" w:eastAsia="ru-RU"/>
        </w:rPr>
        <w:t xml:space="preserve"> атындағы </w:t>
      </w:r>
      <w:r w:rsidRPr="00F86069">
        <w:rPr>
          <w:rFonts w:ascii="Times New Roman" w:eastAsia="Times New Roman" w:hAnsi="Times New Roman" w:cs="Times New Roman"/>
          <w:bCs/>
          <w:sz w:val="28"/>
          <w:szCs w:val="28"/>
          <w:lang w:val="ru-RU" w:eastAsia="ru-RU"/>
        </w:rPr>
        <w:t>Е</w:t>
      </w:r>
      <w:r w:rsidRPr="00F86069">
        <w:rPr>
          <w:rFonts w:ascii="Times New Roman" w:eastAsia="Times New Roman" w:hAnsi="Times New Roman" w:cs="Times New Roman"/>
          <w:bCs/>
          <w:sz w:val="28"/>
          <w:szCs w:val="28"/>
          <w:lang w:val="kk-KZ" w:eastAsia="ru-RU"/>
        </w:rPr>
        <w:t>у</w:t>
      </w:r>
      <w:r w:rsidRPr="00F86069">
        <w:rPr>
          <w:rFonts w:ascii="Times New Roman" w:eastAsia="Times New Roman" w:hAnsi="Times New Roman" w:cs="Times New Roman"/>
          <w:bCs/>
          <w:sz w:val="28"/>
          <w:szCs w:val="28"/>
          <w:lang w:val="ru-RU" w:eastAsia="ru-RU"/>
        </w:rPr>
        <w:t>рази</w:t>
      </w:r>
      <w:r w:rsidRPr="00F86069">
        <w:rPr>
          <w:rFonts w:ascii="Times New Roman" w:eastAsia="Times New Roman" w:hAnsi="Times New Roman" w:cs="Times New Roman"/>
          <w:bCs/>
          <w:sz w:val="28"/>
          <w:szCs w:val="28"/>
          <w:lang w:val="kk-KZ" w:eastAsia="ru-RU"/>
        </w:rPr>
        <w:t>я ұлттық</w:t>
      </w:r>
      <w:r w:rsidRPr="00F86069">
        <w:rPr>
          <w:rFonts w:ascii="Times New Roman" w:eastAsia="Times New Roman" w:hAnsi="Times New Roman" w:cs="Times New Roman"/>
          <w:bCs/>
          <w:sz w:val="28"/>
          <w:szCs w:val="28"/>
          <w:lang w:val="ru-RU" w:eastAsia="ru-RU"/>
        </w:rPr>
        <w:t xml:space="preserve"> университет</w:t>
      </w:r>
      <w:r w:rsidRPr="00F86069">
        <w:rPr>
          <w:rFonts w:ascii="Times New Roman" w:eastAsia="Times New Roman" w:hAnsi="Times New Roman" w:cs="Times New Roman"/>
          <w:bCs/>
          <w:sz w:val="28"/>
          <w:szCs w:val="28"/>
          <w:lang w:val="kk-KZ" w:eastAsia="ru-RU"/>
        </w:rPr>
        <w:t>і</w:t>
      </w: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ru-RU" w:eastAsia="ru-RU"/>
        </w:rPr>
      </w:pPr>
    </w:p>
    <w:p w:rsidR="00F86069" w:rsidRPr="00F86069" w:rsidRDefault="00F86069" w:rsidP="00F86069">
      <w:pPr>
        <w:tabs>
          <w:tab w:val="left" w:pos="2520"/>
        </w:tabs>
        <w:spacing w:after="200" w:line="240" w:lineRule="auto"/>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rPr>
          <w:rFonts w:ascii="Times New Roman" w:eastAsia="Times New Roman" w:hAnsi="Times New Roman" w:cs="Times New Roman"/>
          <w:sz w:val="28"/>
          <w:szCs w:val="28"/>
          <w:lang w:val="ru-RU"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r w:rsidRPr="00F86069">
        <w:rPr>
          <w:rFonts w:ascii="Times New Roman" w:eastAsia="Times New Roman" w:hAnsi="Times New Roman" w:cs="Times New Roman"/>
          <w:sz w:val="28"/>
          <w:szCs w:val="28"/>
          <w:lang w:val="ru-RU" w:eastAsia="ru-RU"/>
        </w:rPr>
        <w:t>Нег</w:t>
      </w:r>
      <w:r w:rsidRPr="00F86069">
        <w:rPr>
          <w:rFonts w:ascii="Times New Roman" w:eastAsia="Times New Roman" w:hAnsi="Times New Roman" w:cs="Times New Roman"/>
          <w:sz w:val="28"/>
          <w:szCs w:val="28"/>
          <w:lang w:val="kk-KZ" w:eastAsia="ru-RU"/>
        </w:rPr>
        <w:t>іздеме</w:t>
      </w: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b/>
          <w:sz w:val="28"/>
          <w:szCs w:val="28"/>
          <w:lang w:val="kk-KZ" w:eastAsia="ru-RU"/>
        </w:rPr>
      </w:pPr>
      <w:r w:rsidRPr="00F86069">
        <w:rPr>
          <w:rFonts w:ascii="Times New Roman" w:eastAsia="Times New Roman" w:hAnsi="Times New Roman" w:cs="Times New Roman"/>
          <w:b/>
          <w:sz w:val="28"/>
          <w:szCs w:val="28"/>
          <w:lang w:val="kk-KZ" w:eastAsia="ru-RU"/>
        </w:rPr>
        <w:t>«Бұқаралық ақпарат құралдарымен студенттердің әлеуметтік-мәдени құзіреттілігін қалыптастыру»</w:t>
      </w: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spacing w:after="200" w:line="240" w:lineRule="auto"/>
        <w:ind w:firstLine="709"/>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81210A"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r w:rsidRPr="0081210A">
        <w:rPr>
          <w:rFonts w:ascii="Times New Roman" w:eastAsia="Times New Roman" w:hAnsi="Times New Roman" w:cs="Times New Roman"/>
          <w:sz w:val="28"/>
          <w:szCs w:val="28"/>
          <w:lang w:val="kk-KZ" w:eastAsia="ru-RU"/>
        </w:rPr>
        <w:t xml:space="preserve">6М012300 </w:t>
      </w:r>
      <w:bookmarkStart w:id="0" w:name="_GoBack"/>
      <w:bookmarkEnd w:id="0"/>
      <w:r w:rsidR="00F86069" w:rsidRPr="00F86069">
        <w:rPr>
          <w:rFonts w:ascii="Times New Roman" w:eastAsia="Times New Roman" w:hAnsi="Times New Roman" w:cs="Times New Roman"/>
          <w:sz w:val="28"/>
          <w:szCs w:val="28"/>
          <w:lang w:val="kk-KZ" w:eastAsia="ru-RU"/>
        </w:rPr>
        <w:t xml:space="preserve"> – «Әлеуметтік педагогика және өзін-өзі тану» </w:t>
      </w: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rPr>
          <w:rFonts w:ascii="Times New Roman" w:eastAsia="Times New Roman" w:hAnsi="Times New Roman" w:cs="Times New Roman"/>
          <w:sz w:val="28"/>
          <w:szCs w:val="28"/>
          <w:lang w:val="kk-KZ" w:eastAsia="ru-RU"/>
        </w:rPr>
      </w:pPr>
      <w:r w:rsidRPr="00F86069">
        <w:rPr>
          <w:rFonts w:ascii="Times New Roman" w:eastAsia="Times New Roman" w:hAnsi="Times New Roman" w:cs="Times New Roman"/>
          <w:sz w:val="28"/>
          <w:szCs w:val="28"/>
          <w:lang w:val="kk-KZ" w:eastAsia="ru-RU"/>
        </w:rPr>
        <w:t>1-курс магистранты:                                                     Әзім А.Б</w:t>
      </w:r>
    </w:p>
    <w:p w:rsidR="00F86069" w:rsidRPr="00F86069" w:rsidRDefault="00F86069" w:rsidP="00F86069">
      <w:pPr>
        <w:tabs>
          <w:tab w:val="left" w:pos="2520"/>
        </w:tabs>
        <w:spacing w:after="200" w:line="240" w:lineRule="auto"/>
        <w:ind w:firstLine="709"/>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0" w:line="276" w:lineRule="auto"/>
        <w:ind w:firstLine="709"/>
        <w:rPr>
          <w:rFonts w:ascii="Times New Roman" w:eastAsia="Times New Roman" w:hAnsi="Times New Roman" w:cs="Times New Roman"/>
          <w:sz w:val="28"/>
          <w:szCs w:val="28"/>
          <w:lang w:val="kk-KZ" w:eastAsia="ru-RU"/>
        </w:rPr>
      </w:pPr>
      <w:r w:rsidRPr="00F86069">
        <w:rPr>
          <w:rFonts w:ascii="Times New Roman" w:eastAsia="Times New Roman" w:hAnsi="Times New Roman" w:cs="Times New Roman"/>
          <w:sz w:val="28"/>
          <w:szCs w:val="28"/>
          <w:lang w:val="kk-KZ" w:eastAsia="ru-RU"/>
        </w:rPr>
        <w:t>Ғылыми жетекші:                                                          Сламкулова Т.С</w:t>
      </w:r>
    </w:p>
    <w:p w:rsidR="00F86069" w:rsidRPr="00F86069" w:rsidRDefault="00F86069" w:rsidP="00F86069">
      <w:pPr>
        <w:tabs>
          <w:tab w:val="left" w:pos="2520"/>
        </w:tabs>
        <w:spacing w:after="0" w:line="276" w:lineRule="auto"/>
        <w:ind w:firstLine="709"/>
        <w:rPr>
          <w:rFonts w:ascii="Times New Roman" w:eastAsia="Times New Roman" w:hAnsi="Times New Roman" w:cs="Times New Roman"/>
          <w:sz w:val="28"/>
          <w:szCs w:val="28"/>
          <w:lang w:val="kk-KZ" w:eastAsia="ru-RU"/>
        </w:rPr>
      </w:pPr>
      <w:r w:rsidRPr="00F86069">
        <w:rPr>
          <w:rFonts w:ascii="Times New Roman" w:eastAsia="Times New Roman" w:hAnsi="Times New Roman" w:cs="Times New Roman"/>
          <w:sz w:val="28"/>
          <w:szCs w:val="28"/>
          <w:lang w:val="kk-KZ" w:eastAsia="ru-RU"/>
        </w:rPr>
        <w:t>п.ғ.к., профессор м.а</w:t>
      </w: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rPr>
          <w:rFonts w:ascii="Times New Roman" w:eastAsia="Times New Roman" w:hAnsi="Times New Roman" w:cs="Times New Roman"/>
          <w:sz w:val="28"/>
          <w:szCs w:val="28"/>
          <w:lang w:val="kk-KZ" w:eastAsia="ru-RU"/>
        </w:rPr>
      </w:pPr>
    </w:p>
    <w:p w:rsidR="00F86069" w:rsidRPr="00F86069" w:rsidRDefault="00F86069" w:rsidP="00F86069">
      <w:pPr>
        <w:tabs>
          <w:tab w:val="left" w:pos="2520"/>
        </w:tabs>
        <w:spacing w:after="200" w:line="240" w:lineRule="auto"/>
        <w:ind w:firstLine="709"/>
        <w:jc w:val="center"/>
        <w:rPr>
          <w:rFonts w:ascii="Times New Roman" w:eastAsia="Times New Roman" w:hAnsi="Times New Roman" w:cs="Times New Roman"/>
          <w:sz w:val="28"/>
          <w:szCs w:val="28"/>
          <w:lang w:val="kk-KZ" w:eastAsia="ru-RU"/>
        </w:rPr>
      </w:pPr>
      <w:r w:rsidRPr="00F86069">
        <w:rPr>
          <w:rFonts w:ascii="Times New Roman" w:eastAsia="Times New Roman" w:hAnsi="Times New Roman" w:cs="Times New Roman"/>
          <w:sz w:val="28"/>
          <w:szCs w:val="28"/>
          <w:lang w:val="kk-KZ" w:eastAsia="ru-RU"/>
        </w:rPr>
        <w:t>Нұр-сұлтан 2019</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lastRenderedPageBreak/>
        <w:t>Зерттеу тақырыбынын өзектілігі.</w:t>
      </w:r>
      <w:r w:rsidRPr="00F86069">
        <w:rPr>
          <w:rFonts w:ascii="Times New Roman" w:eastAsia="Times New Roman" w:hAnsi="Times New Roman" w:cs="Times New Roman"/>
          <w:color w:val="000000"/>
          <w:sz w:val="28"/>
          <w:szCs w:val="28"/>
          <w:lang w:val="kk-KZ" w:eastAsia="ru-RU"/>
        </w:rPr>
        <w:t xml:space="preserve"> Қазіргі заманда әлемді байланыссыз елестетуге болмайды. Байланыс адам өмірінде және қызметінде үлкен рөл атқарады. Байланыс - жеке дамудын негізгі шарты. Адамнын жеке басын, онын психикалық процестерін, адамнын қасиеттерін, сондай-ақ функцияларын қалыптастырудын негізгі  шарты байланыс болып таблады. Жеке дамудын негізгі шарты ретінде, әлеуметтік-мәдени сауаттылықты барлық адамдар үшін қажет деп санауға болмайды. Бұл адамнын құзыреттілігінін дәрежесін анықтайтын сауаттылық. Адамдық қарым-қатынас өз қызметімен басқа біреудін қызметі қиылысқан кезде туындайды. Бұл жағдайда құзыреттілік адамнын кәсіби тиімділігіне ықпал етеді деп айтуға болады. Байланыс – психологиялық іс-әрекеттін алдын-алудын манызды факторы болып таблады. Егер адам қалай қарым-қатынаста болуды білмесе, сөзсіз бұл жалғыздыққа алып келеді, ол невротикалық күйлерді тудыруы мүмкін, тіпті кей ғалымдар бұл өз-өзіне қол жұмсауға алып келетінін болжайды. Яғни, әлеуметтік-мәдени құзыреттілігі, ен алдымен, адамнын өзіндік потенциалын, серіктестін психологиялық әлеуетін, жағдай мен тапсырманы дұрыс бағдарлауды қажет ететінін айтуға болады.</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Ғылыми әдебиеттерді зерттеу бізге әлеуметтік-мәдени құзыреттілік негізгі құзыреттіліктердін бірі екендігін дәлелдейді.Әлеуметтік-мәдени құзреттілікті қалыптастыру үшін баланы жан-жақты зерттеу қажет. Бұл үшін тұлғаның психологиясынын ерекшеліктерін, онын қарым-қатнасқа ықпал ететін дағдыларды менгеруі , қабылдауы және түсінудін үлгісін білуі басшылықа алынады. Айналадағы адамдарды тындай білуі және оны адам ретінде қабылдай білуі, тиісті түрде әрекет ету қаблеті болуы және тұлғааралық әсер ету сияқты іс-әрекеттерін анықтап алған жөн.</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 xml:space="preserve"> Адамдар үшің қарым-қатнас ерекше манызды, себебі бұл адамдар арасындағы негізгі қызмет. Әнгімелесуші бір-бірімен түсіністікке жету үшін әлеуметтік-мәдени құзыреттілік қабілеттеріне ие болуы керек.</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Туғаннан бастап қарым-қатнаста қолданылатын білім мен дағдыларды балабақша және мектеп арқылы бойына сініреді. Бірақ, барлық адамдар арасындағы қарым-қатнас саласында жеткілікті білімі жоқ, сондықтан осы дағдыларды дамыту қажет.Қазірде қоғам өкілі білім алу мекемелеріне барады, онда мәдениеттің бастапқы ережелерімен танысады. Ол үшін тиімді дамудын дұрыс әдістерін тандап алу қажет болады.</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Әрбір қоғамнын басты мақсаты өркениетті елдер қатарына қосылу болса, осы мақсат жүзеге асуына бірден бір себеп адамнын тұлға ретінде понециялынын жоғары  болуы. Өркениетке жетуде басты манызды рөлді  жан-жақты, рухани тұрғысынан кемелденген және дамуға талпынатын  тұлға алады. Білім берудін бүгінгі күнгі басты міндеті де солай: қабілетті, моральдық сезімдері жоғары жеке тұлға қалыптастыру болып таблады.</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 xml:space="preserve">Жаңа ғасыр білімділерге жаңа жол ашады. Білімді жетік менгеру үшін тәртіп пен сабырлылықтын алатын орны ерек. Білімді болу мен ақылды болу екі түрлі ұғым. Білім мен рухани құндылықты бағдарды бала бойына дарытқан уақытта </w:t>
      </w:r>
      <w:r w:rsidRPr="00F86069">
        <w:rPr>
          <w:rFonts w:ascii="Times New Roman" w:eastAsia="Times New Roman" w:hAnsi="Times New Roman" w:cs="Times New Roman"/>
          <w:color w:val="000000"/>
          <w:sz w:val="28"/>
          <w:szCs w:val="28"/>
          <w:lang w:val="kk-KZ" w:eastAsia="ru-RU"/>
        </w:rPr>
        <w:lastRenderedPageBreak/>
        <w:t>ғана ақылды дана тұлға болып шығады. Әр қырлы, дамыған тұлғадағы  басты қасиеттердін бірегейі - тіл байлығы деп атауға болады. Тіпті ұлы қазақ елінін ақыны Абай атамыз сөзі жүрекке жылы тиіп, сөздін құдіретін түсінетін адамдарда ғана тұлғалық қасиет болады деген. Өз ойын нақты әрі көркем жеткізе білу, шешен де ойлы сөйлей алу адамгершілікті бойына сінірген тұлға қасиеті. Рухани адамгершілікке тәрбиелеудін басты мақсаты оқушылардын белсенді өмірлік жолын, қоғамдық борышқа саналы көзқарасын, сөз бен істін бірлігін қамтамасыз етіп, адамгершілік нормаларынан ауытқушыларға жол бермеуді қалыптастыру болып таблады. ХХІ ғасыр – білімділер ғасыры. Ендеше бізге ой өрісі жоғары дамыған, зерделі, мәдениетті жан-жақты парасатты ұрпақ керек екенін бір сәтте естен шығармағанымыз жөн.</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Kез-келген адамнын өміріндегі қарым-қатынас дағдысы зор манызға ие.Әлеуметтік-мәдени құзіреттілік қарым-қатынас арқылы қалыптасады. Бірақ біз ақпараттың негізгі көзі болып саналатын – бұқаралық ақпарат құралдарының әсері мен нәтижесін зерттейміз. Бұқаралық ақпарат құралдары (БАҚ) - арнайы техникалық құралдардың көмегімен, кез келген тұлғаларға әртүрлі мәліметтерді ашық жариялауға арналған әлеуметтік мекемелер. Сарапшылар олардың мынадай ерекше белгілерін атап көрсетеді: жариялылық, яғни тұтынушылардың шексіздігі; арнайы техникалық құралдардың, аппаратуралардың болуы; ақпарат таратушының (коммутатор) қабылдаушыға біржақты ықпалы; тұтынушы аудиторияның тұрақсыз әркелкілігі. Қоғамның өмір сүруін қамтамасыз етудегі БАҚ-тың рөлі зор. Наполеон: "Жауға қарсы жүздеген мың қол әскерден, төрт газеттің ойсырата соққы беру мүмкіндігі зор", - деген. 1840 ж. француз жазушысы О. де Бальзак баспасөзді «төртінші билік» деп атады. Билік институтында БАҚ-тың тура мағынасындағы орны болмағанымен, оның саяси процестегі орнын асыра бағалау мүмкін емес. Қазіргі кезде электронды ақпарат құралдарының пайда болуымен бұл әлеуметтік институт бүгінгі қоғамның, саяси биліктік қатынастардың барлық қырларын түбірімен түрлендіріп жіберді. Жеткіншектік – қоғамдағы болашақ өмірдін іргесі қаланатан кез. Егер жеткіншек осы кезенде ересектермен, ата-анасымен, сондай-ақ құрдастарымен қарым-қатнасты дұрыс жасай білсе, болашақта ол кәсіби және жеке өмірлерінде қанағаттану сезіміне ие болады. Байланысты орнату үшін басқалармен қарым-қатнас жасау және бастысы бейбітшілікте өмір сүруді үйрену керек.</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Осылайша, әлеуметтік-мәдени құзыреттілікті қалыптастыру және дамыту проблемасы әлеуметтік педагогикаға тікелей қатысты және онын шешімі тек белгілі бір адамға ғана емес, тұтас қоғам үшін де манызды.</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t>Зерттеудін мақсаты:</w:t>
      </w:r>
      <w:r w:rsidRPr="00F86069">
        <w:rPr>
          <w:rFonts w:ascii="Calibri" w:eastAsia="Times New Roman" w:hAnsi="Calibri" w:cs="Times New Roman"/>
          <w:lang w:val="kk-KZ" w:eastAsia="ru-RU"/>
        </w:rPr>
        <w:t xml:space="preserve"> </w:t>
      </w:r>
      <w:r w:rsidRPr="00F86069">
        <w:rPr>
          <w:rFonts w:ascii="Times New Roman" w:eastAsia="Times New Roman" w:hAnsi="Times New Roman" w:cs="Times New Roman"/>
          <w:color w:val="000000"/>
          <w:sz w:val="28"/>
          <w:szCs w:val="28"/>
          <w:lang w:val="kk-KZ" w:eastAsia="ru-RU"/>
        </w:rPr>
        <w:t>Бұқаралық ақпарат құралдарымен студенттердің әлеуметтік-мәдени құзіреттілігін қалыптастыруды теориялық тұрғыда негіздеу және оны әдістемелік жағынан қамтамасыз ету.</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t xml:space="preserve">Зерттеудін нысаны: </w:t>
      </w:r>
      <w:r w:rsidRPr="00F86069">
        <w:rPr>
          <w:rFonts w:ascii="Times New Roman" w:eastAsia="Times New Roman" w:hAnsi="Times New Roman" w:cs="Times New Roman"/>
          <w:color w:val="000000"/>
          <w:sz w:val="28"/>
          <w:szCs w:val="28"/>
          <w:lang w:val="kk-KZ" w:eastAsia="ru-RU"/>
        </w:rPr>
        <w:t>жалпы білім беретін мекемедегі біртұтас педагогикалық үдерісі</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lastRenderedPageBreak/>
        <w:t>Зерттеудін пәні:</w:t>
      </w:r>
      <w:r w:rsidRPr="00F86069">
        <w:rPr>
          <w:rFonts w:ascii="Calibri" w:eastAsia="Times New Roman" w:hAnsi="Calibri" w:cs="Times New Roman"/>
          <w:lang w:val="kk-KZ" w:eastAsia="ru-RU"/>
        </w:rPr>
        <w:t xml:space="preserve"> </w:t>
      </w:r>
      <w:r w:rsidRPr="00F86069">
        <w:rPr>
          <w:rFonts w:ascii="Times New Roman" w:eastAsia="Times New Roman" w:hAnsi="Times New Roman" w:cs="Times New Roman"/>
          <w:color w:val="000000"/>
          <w:sz w:val="28"/>
          <w:szCs w:val="28"/>
          <w:lang w:val="kk-KZ" w:eastAsia="ru-RU"/>
        </w:rPr>
        <w:t>Бұқаралық ақпарат құралдарымен студенттердің әлеуметтік-мәдени құзіреттілігін қалыптастыру</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t>Зерттеудін болжамы:</w:t>
      </w:r>
      <w:r w:rsidRPr="00F86069">
        <w:rPr>
          <w:rFonts w:ascii="Times New Roman" w:eastAsia="Times New Roman" w:hAnsi="Times New Roman" w:cs="Times New Roman"/>
          <w:color w:val="000000"/>
          <w:sz w:val="28"/>
          <w:szCs w:val="28"/>
          <w:lang w:val="kk-KZ" w:eastAsia="ru-RU"/>
        </w:rPr>
        <w:t xml:space="preserve"> егер, бұқаралық ақпарат құралдарымен студенттердің әлеуметтік-мәдени құзіреттілігін қалыптастыру мақсатты түрде теориялық негіздері айқындалса, және оны әдістемелік жағынан қамтамасыз ететін болса, онда тұлғаның қатысымдық құзреттіліктері олардын ортаға бейімделуіне әрі мәдениеттенуіне ықпал етеді, өйткені студенттердің әлеуметтік-мәдени құзыреттілікті дамытудын мүмкіндіктерін жүзеге асыру тұлғаралық өзара әрекеттестік нәтижелерінін тиімділігін көтереді және өмірлік дағдыларын қанағаттандыруға сенімділігін туғызады.</w:t>
      </w:r>
    </w:p>
    <w:p w:rsidR="00F86069" w:rsidRPr="00F86069" w:rsidRDefault="00F86069" w:rsidP="00F86069">
      <w:pPr>
        <w:spacing w:after="0" w:line="240" w:lineRule="auto"/>
        <w:ind w:firstLine="567"/>
        <w:jc w:val="both"/>
        <w:rPr>
          <w:rFonts w:ascii="Times New Roman" w:eastAsia="Times New Roman" w:hAnsi="Times New Roman" w:cs="Times New Roman"/>
          <w:b/>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t>Зерттеудін міндеттері:</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1. «Құзреттілік», «әлеуметтік-мәдени құзреттілік» мәнін нақтылау</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2. Студенттердің әлеуметтік-мәдени құзыреттілігін дамытудын үлгісін жасау</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3. Студенттердің әлеуметтік-мәдени құзыреттілігін дамытуды зерттей келе, онын тиімділігін тәжірибелік экспериментте тексеру</w:t>
      </w:r>
    </w:p>
    <w:p w:rsidR="00F86069" w:rsidRPr="00F86069" w:rsidRDefault="00F86069" w:rsidP="00F86069">
      <w:pPr>
        <w:spacing w:after="0" w:line="240" w:lineRule="auto"/>
        <w:ind w:firstLine="567"/>
        <w:jc w:val="both"/>
        <w:rPr>
          <w:rFonts w:ascii="Times New Roman" w:eastAsia="Times New Roman" w:hAnsi="Times New Roman" w:cs="Times New Roman"/>
          <w:b/>
          <w:color w:val="000000"/>
          <w:sz w:val="28"/>
          <w:szCs w:val="28"/>
          <w:lang w:val="kk-KZ" w:eastAsia="ru-RU"/>
        </w:rPr>
      </w:pPr>
      <w:r w:rsidRPr="00F86069">
        <w:rPr>
          <w:rFonts w:ascii="Times New Roman" w:eastAsia="Times New Roman" w:hAnsi="Times New Roman" w:cs="Times New Roman"/>
          <w:b/>
          <w:color w:val="000000"/>
          <w:sz w:val="28"/>
          <w:szCs w:val="28"/>
          <w:lang w:val="kk-KZ" w:eastAsia="ru-RU"/>
        </w:rPr>
        <w:t>Зерттеудін әдістері:</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1.Теориялық: салыстырмалы талдау, қорыту,жүйелеу;</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2.Эмпирикалық: байқау, сауалнама, сөйлесу, тестілеу; әлеуметтік-мәдени қызметті талдау; деректерді математикалық өндеу әдістері;</w:t>
      </w:r>
    </w:p>
    <w:p w:rsidR="00F86069" w:rsidRPr="00F86069" w:rsidRDefault="00F86069" w:rsidP="00F86069">
      <w:pPr>
        <w:spacing w:after="0" w:line="240" w:lineRule="auto"/>
        <w:jc w:val="both"/>
        <w:rPr>
          <w:rFonts w:ascii="Times New Roman" w:eastAsia="Times New Roman" w:hAnsi="Times New Roman" w:cs="Times New Roman"/>
          <w:color w:val="000000"/>
          <w:sz w:val="28"/>
          <w:szCs w:val="28"/>
          <w:lang w:val="kk-KZ" w:eastAsia="ru-RU"/>
        </w:rPr>
      </w:pPr>
      <w:r w:rsidRPr="00F86069">
        <w:rPr>
          <w:rFonts w:ascii="Times New Roman" w:eastAsia="Times New Roman" w:hAnsi="Times New Roman" w:cs="Times New Roman"/>
          <w:color w:val="000000"/>
          <w:sz w:val="28"/>
          <w:szCs w:val="28"/>
          <w:lang w:val="kk-KZ" w:eastAsia="ru-RU"/>
        </w:rPr>
        <w:t>3.Педагогикалық-психологиялық жинақтау және өндеу, әлеуметтік педагогикалық әдістерін пайдалану</w:t>
      </w:r>
    </w:p>
    <w:p w:rsidR="00F86069" w:rsidRPr="00F86069" w:rsidRDefault="00F86069" w:rsidP="00F86069">
      <w:pPr>
        <w:spacing w:after="0" w:line="240" w:lineRule="auto"/>
        <w:ind w:firstLine="567"/>
        <w:jc w:val="both"/>
        <w:rPr>
          <w:rFonts w:ascii="Times New Roman" w:eastAsia="Times New Roman" w:hAnsi="Times New Roman" w:cs="Times New Roman"/>
          <w:color w:val="000000"/>
          <w:sz w:val="28"/>
          <w:szCs w:val="28"/>
          <w:lang w:val="kk-KZ" w:eastAsia="ru-RU"/>
        </w:rPr>
      </w:pPr>
    </w:p>
    <w:p w:rsidR="00076705" w:rsidRPr="00F86069" w:rsidRDefault="00076705">
      <w:pPr>
        <w:rPr>
          <w:lang w:val="kk-KZ"/>
        </w:rPr>
      </w:pPr>
    </w:p>
    <w:sectPr w:rsidR="00076705" w:rsidRPr="00F860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62"/>
    <w:rsid w:val="00076705"/>
    <w:rsid w:val="003A2262"/>
    <w:rsid w:val="0081210A"/>
    <w:rsid w:val="00F8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5463-4319-434E-B072-CDE3DB88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6343</Characters>
  <Application>Microsoft Office Word</Application>
  <DocSecurity>0</DocSecurity>
  <Lines>52</Lines>
  <Paragraphs>14</Paragraphs>
  <ScaleCrop>false</ScaleCrop>
  <Company>SPecialiST RePack</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2019-10-09T04:09:00Z</dcterms:created>
  <dcterms:modified xsi:type="dcterms:W3CDTF">2019-10-09T06:44:00Z</dcterms:modified>
</cp:coreProperties>
</file>